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b/>
          <w:bCs w:val="0"/>
          <w:kern w:val="2"/>
          <w:sz w:val="36"/>
          <w:szCs w:val="36"/>
          <w:lang w:val="en-US" w:eastAsia="zh-CN" w:bidi="ar"/>
        </w:rPr>
      </w:pPr>
      <w:r>
        <w:rPr>
          <w:rFonts w:hint="eastAsia" w:ascii="宋体" w:hAnsi="宋体" w:eastAsia="宋体" w:cs="宋体"/>
          <w:b/>
          <w:bCs w:val="0"/>
          <w:color w:val="000000"/>
          <w:kern w:val="0"/>
          <w:sz w:val="36"/>
          <w:szCs w:val="36"/>
          <w:lang w:val="en-US" w:eastAsia="zh-CN" w:bidi="ar"/>
        </w:rPr>
        <w:t>海口市</w:t>
      </w:r>
      <w:r>
        <w:rPr>
          <w:rFonts w:hint="eastAsia" w:ascii="宋体" w:hAnsi="宋体" w:eastAsia="宋体" w:cs="宋体"/>
          <w:b/>
          <w:bCs w:val="0"/>
          <w:kern w:val="2"/>
          <w:sz w:val="36"/>
          <w:szCs w:val="36"/>
          <w:lang w:val="en-US" w:eastAsia="zh-CN" w:bidi="ar"/>
        </w:rPr>
        <w:t>三江农场发展控股有限公司</w:t>
      </w:r>
    </w:p>
    <w:p>
      <w:pPr>
        <w:keepNext w:val="0"/>
        <w:keepLines w:val="0"/>
        <w:widowControl w:val="0"/>
        <w:suppressLineNumbers w:val="0"/>
        <w:spacing w:before="156" w:beforeLines="50" w:beforeAutospacing="0" w:after="0" w:afterAutospacing="0" w:line="500" w:lineRule="exact"/>
        <w:ind w:left="0" w:right="0"/>
        <w:jc w:val="center"/>
        <w:rPr>
          <w:rFonts w:hint="default" w:ascii="Times New Roman" w:hAnsi="Times New Roman" w:cs="Times New Roman"/>
          <w:b/>
          <w:bCs/>
          <w:kern w:val="2"/>
          <w:sz w:val="24"/>
          <w:szCs w:val="24"/>
        </w:rPr>
      </w:pPr>
      <w:r>
        <w:rPr>
          <w:rFonts w:hint="default" w:ascii="Times New Roman" w:hAnsi="Times New Roman" w:cs="Times New Roman" w:eastAsiaTheme="minorEastAsia"/>
          <w:b/>
          <w:bCs w:val="0"/>
          <w:color w:val="000000" w:themeColor="text1"/>
          <w:kern w:val="2"/>
          <w:sz w:val="36"/>
          <w:szCs w:val="36"/>
          <w:lang w:val="en-US" w:eastAsia="zh-CN" w:bidi="ar"/>
          <w14:textFill>
            <w14:solidFill>
              <w14:schemeClr w14:val="tx1"/>
            </w14:solidFill>
          </w14:textFill>
        </w:rPr>
        <w:t>20</w:t>
      </w:r>
      <w:r>
        <w:rPr>
          <w:rFonts w:hint="default" w:ascii="Times New Roman" w:hAnsi="Times New Roman" w:eastAsia="宋体" w:cs="Times New Roman"/>
          <w:b/>
          <w:bCs w:val="0"/>
          <w:color w:val="000000" w:themeColor="text1"/>
          <w:kern w:val="2"/>
          <w:sz w:val="36"/>
          <w:szCs w:val="36"/>
          <w:lang w:val="en-US" w:eastAsia="zh-CN" w:bidi="ar"/>
          <w14:textFill>
            <w14:solidFill>
              <w14:schemeClr w14:val="tx1"/>
            </w14:solidFill>
          </w14:textFill>
        </w:rPr>
        <w:t>2</w:t>
      </w:r>
      <w:r>
        <w:rPr>
          <w:rFonts w:hint="eastAsia" w:ascii="Times New Roman" w:hAnsi="Times New Roman" w:eastAsia="宋体" w:cs="Times New Roman"/>
          <w:b/>
          <w:bCs w:val="0"/>
          <w:color w:val="000000" w:themeColor="text1"/>
          <w:kern w:val="2"/>
          <w:sz w:val="36"/>
          <w:szCs w:val="36"/>
          <w:lang w:val="en-US" w:eastAsia="zh-CN" w:bidi="ar"/>
          <w14:textFill>
            <w14:solidFill>
              <w14:schemeClr w14:val="tx1"/>
            </w14:solidFill>
          </w14:textFill>
        </w:rPr>
        <w:t>2</w:t>
      </w:r>
      <w:r>
        <w:rPr>
          <w:rFonts w:hint="eastAsia" w:ascii="宋体" w:hAnsi="宋体" w:eastAsia="宋体" w:cs="宋体"/>
          <w:b/>
          <w:bCs w:val="0"/>
          <w:kern w:val="2"/>
          <w:sz w:val="36"/>
          <w:szCs w:val="36"/>
          <w:lang w:val="en-US" w:eastAsia="zh-CN" w:bidi="ar"/>
        </w:rPr>
        <w:t>年度财务报表（合并）附注</w:t>
      </w:r>
    </w:p>
    <w:p>
      <w:pPr>
        <w:pStyle w:val="10"/>
        <w:keepNext w:val="0"/>
        <w:keepLines w:val="0"/>
        <w:widowControl w:val="0"/>
        <w:suppressLineNumbers w:val="0"/>
        <w:spacing w:before="0" w:beforeAutospacing="0" w:after="0" w:afterAutospacing="0" w:line="360" w:lineRule="exact"/>
        <w:ind w:left="0" w:right="0"/>
        <w:rPr>
          <w:rFonts w:hint="default" w:ascii="Times New Roman" w:hAnsi="Times New Roman" w:eastAsia="宋体" w:cs="Times New Roman"/>
          <w:kern w:val="2"/>
          <w:sz w:val="24"/>
          <w:szCs w:val="24"/>
        </w:rPr>
      </w:pPr>
    </w:p>
    <w:p>
      <w:pPr>
        <w:pStyle w:val="10"/>
        <w:keepNext w:val="0"/>
        <w:keepLines w:val="0"/>
        <w:widowControl w:val="0"/>
        <w:suppressLineNumbers w:val="0"/>
        <w:spacing w:before="0" w:beforeAutospacing="0" w:after="0" w:afterAutospacing="0" w:line="360" w:lineRule="exact"/>
        <w:ind w:left="0" w:right="0"/>
        <w:rPr>
          <w:rFonts w:hint="default" w:ascii="Times New Roman" w:hAnsi="Times New Roman" w:eastAsia="宋体" w:cs="Times New Roman"/>
          <w:kern w:val="2"/>
          <w:sz w:val="24"/>
          <w:szCs w:val="24"/>
        </w:rPr>
      </w:pPr>
      <w:r>
        <w:rPr>
          <w:rFonts w:hint="eastAsia" w:ascii="宋体" w:hAnsi="宋体" w:eastAsia="宋体" w:cs="宋体"/>
          <w:kern w:val="2"/>
          <w:sz w:val="24"/>
          <w:szCs w:val="24"/>
        </w:rPr>
        <w:t>（除另有注明外，所有金额均以人民币元为货币单位）</w:t>
      </w:r>
    </w:p>
    <w:p>
      <w:pPr>
        <w:pStyle w:val="10"/>
        <w:widowControl/>
        <w:spacing w:line="330" w:lineRule="atLeast"/>
        <w:ind w:left="0" w:right="0"/>
        <w:rPr>
          <w:rFonts w:hint="default" w:ascii="Times New Roman" w:hAnsi="Times New Roman" w:eastAsia="宋体" w:cs="Times New Roman"/>
          <w:kern w:val="2"/>
          <w:sz w:val="24"/>
          <w:szCs w:val="24"/>
        </w:rPr>
      </w:pP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Times New Roman" w:cs="Times New Roman"/>
          <w:b/>
          <w:bCs/>
          <w:kern w:val="2"/>
          <w:sz w:val="24"/>
          <w:szCs w:val="24"/>
        </w:rPr>
      </w:pPr>
      <w:r>
        <w:rPr>
          <w:rFonts w:hint="eastAsia" w:ascii="宋体" w:hAnsi="宋体" w:eastAsia="宋体" w:cs="宋体"/>
          <w:b/>
          <w:bCs/>
          <w:kern w:val="2"/>
          <w:sz w:val="24"/>
          <w:szCs w:val="24"/>
          <w:lang w:val="en-US" w:eastAsia="zh-CN" w:bidi="ar"/>
        </w:rPr>
        <w:t>一、公司基本情况</w:t>
      </w:r>
    </w:p>
    <w:p>
      <w:pPr>
        <w:keepNext w:val="0"/>
        <w:keepLines w:val="0"/>
        <w:widowControl w:val="0"/>
        <w:suppressLineNumbers w:val="0"/>
        <w:adjustRightInd w:val="0"/>
        <w:snapToGrid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海口市三江农场发展控股有限公司（以下简称“三江发控公司或本公司</w:t>
      </w:r>
      <w:r>
        <w:rPr>
          <w:rFonts w:hint="default" w:ascii="Times New Roman" w:hAnsi="宋体" w:cs="Times New Roman" w:eastAsiaTheme="minorEastAsia"/>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位于海口市美兰区三江镇，毗邻演丰镇和东寨港国家级自然保护区</w:t>
      </w:r>
      <w:r>
        <w:rPr>
          <w:rFonts w:hint="eastAsia" w:ascii="宋体" w:hAnsi="宋体" w:eastAsia="宋体" w:cs="宋体"/>
          <w:kern w:val="2"/>
          <w:sz w:val="24"/>
          <w:szCs w:val="24"/>
          <w:lang w:val="en-US" w:eastAsia="zh-CN" w:bidi="ar"/>
        </w:rPr>
        <w:t>，现为海口市直属国有企业，由海口市国有资产监督管理委员会负责日常监督管理。</w:t>
      </w:r>
      <w:r>
        <w:rPr>
          <w:rFonts w:hint="eastAsia" w:ascii="宋体" w:hAnsi="宋体" w:eastAsia="宋体" w:cs="宋体"/>
          <w:color w:val="000000"/>
          <w:kern w:val="2"/>
          <w:sz w:val="24"/>
          <w:szCs w:val="24"/>
          <w:lang w:val="en-US" w:eastAsia="zh-CN" w:bidi="ar"/>
        </w:rPr>
        <w:t>于</w:t>
      </w:r>
      <w:r>
        <w:rPr>
          <w:rFonts w:hint="default" w:ascii="Times New Roman" w:hAnsi="Times New Roman" w:eastAsia="宋体" w:cs="Times New Roman"/>
          <w:color w:val="000000"/>
          <w:kern w:val="2"/>
          <w:sz w:val="24"/>
          <w:szCs w:val="24"/>
          <w:lang w:val="en-US" w:eastAsia="zh-CN" w:bidi="ar"/>
        </w:rPr>
        <w:t>2017</w:t>
      </w:r>
      <w:r>
        <w:rPr>
          <w:rFonts w:hint="eastAsia" w:ascii="宋体" w:hAnsi="宋体" w:eastAsia="宋体" w:cs="宋体"/>
          <w:color w:val="000000"/>
          <w:kern w:val="2"/>
          <w:sz w:val="24"/>
          <w:szCs w:val="24"/>
          <w:lang w:val="en-US" w:eastAsia="zh-CN" w:bidi="ar"/>
        </w:rPr>
        <w:t>年</w:t>
      </w: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月</w:t>
      </w:r>
      <w:r>
        <w:rPr>
          <w:rFonts w:hint="default" w:ascii="Times New Roman" w:hAnsi="Times New Roman" w:eastAsia="宋体" w:cs="Times New Roman"/>
          <w:color w:val="000000"/>
          <w:kern w:val="2"/>
          <w:sz w:val="24"/>
          <w:szCs w:val="24"/>
          <w:lang w:val="en-US" w:eastAsia="zh-CN" w:bidi="ar"/>
        </w:rPr>
        <w:t>28</w:t>
      </w:r>
      <w:r>
        <w:rPr>
          <w:rFonts w:hint="eastAsia" w:ascii="宋体" w:hAnsi="宋体" w:eastAsia="宋体" w:cs="宋体"/>
          <w:color w:val="000000"/>
          <w:kern w:val="2"/>
          <w:sz w:val="24"/>
          <w:szCs w:val="24"/>
          <w:lang w:val="en-US" w:eastAsia="zh-CN" w:bidi="ar"/>
        </w:rPr>
        <w:t>日取得海南省海口市工商行政管理局核发的企业法人营业执照，公司统一社会信用代码：</w:t>
      </w:r>
      <w:r>
        <w:rPr>
          <w:rFonts w:hint="default" w:ascii="Times New Roman" w:hAnsi="Times New Roman" w:eastAsia="宋体" w:cs="Times New Roman"/>
          <w:color w:val="000000"/>
          <w:kern w:val="2"/>
          <w:sz w:val="24"/>
          <w:szCs w:val="24"/>
          <w:lang w:val="en-US" w:eastAsia="zh-CN" w:bidi="ar"/>
        </w:rPr>
        <w:t>91460100MA5T2RPG7E</w:t>
      </w:r>
      <w:r>
        <w:rPr>
          <w:rFonts w:hint="eastAsia" w:ascii="宋体" w:hAnsi="宋体" w:eastAsia="宋体" w:cs="宋体"/>
          <w:color w:val="000000"/>
          <w:kern w:val="2"/>
          <w:sz w:val="24"/>
          <w:szCs w:val="24"/>
          <w:lang w:val="en-US" w:eastAsia="zh-CN" w:bidi="ar"/>
        </w:rPr>
        <w:t>。类型：有限责任公司（国有独资）；注册资本：壹亿圆整；法定代表人：陈辉；住所：海南省海口市美兰区三江镇三江农场场部。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经营范围：种植业，养殖业，旅游项目开发，土特产品、农副产品的加工、销售，日杂、饲料、建材的销售，房地产开发经营，物业服务，市政工程及其他工程的设计、施工，计算机网络及通讯系统的设计、开发、产品销售，健康疗养、休闲养生项目投资，环卫设施、保洁设备，保健（食）品、药品的科技研究、开发与销售，教育文化活动组织、策划，教育软件、产品的研发与销售。（一般经营项目自主经营，许可经营项目凭相关许可证或者批准文件经营）（依法须经批准的项目，经相关部门批准后方可开展活动。）</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二、财务报表的编制基础</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三江发控公司以持续经营为前提，以权责发生制为基础，根据实际发生的交易和事项，按照《企业会计准则</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基本准则》和其他各项会计准则的规定进行确认和计量。</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三、遵循企业会计准则的声明</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三江发控公司编制的财务报表符合企业会计准则的要求，真实、完整地反映了企业的财务状况、经营成果和现金流量等有关信息。</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四、主要会计政策和会计估计</w:t>
      </w:r>
    </w:p>
    <w:p>
      <w:pPr>
        <w:keepNext w:val="0"/>
        <w:keepLines w:val="0"/>
        <w:widowControl w:val="0"/>
        <w:suppressLineNumbers w:val="0"/>
        <w:autoSpaceDE w:val="0"/>
        <w:autoSpaceDN w:val="0"/>
        <w:adjustRightInd w:val="0"/>
        <w:spacing w:before="0" w:beforeAutospacing="0" w:after="0" w:afterAutospacing="0" w:line="360" w:lineRule="auto"/>
        <w:ind w:left="0" w:right="0" w:firstLine="470" w:firstLineChars="196"/>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一</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会计年度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自公历</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月</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日起至</w:t>
      </w:r>
      <w:r>
        <w:rPr>
          <w:rFonts w:hint="default" w:ascii="Times New Roman" w:hAnsi="Times New Roman" w:cs="Times New Roman" w:eastAsiaTheme="minorEastAsia"/>
          <w:kern w:val="0"/>
          <w:sz w:val="24"/>
          <w:szCs w:val="24"/>
          <w:lang w:val="en-US" w:eastAsia="zh-CN" w:bidi="ar"/>
        </w:rPr>
        <w:t>12</w:t>
      </w:r>
      <w:r>
        <w:rPr>
          <w:rFonts w:hint="eastAsia" w:ascii="宋体" w:hAnsi="宋体" w:eastAsia="宋体" w:cs="宋体"/>
          <w:kern w:val="0"/>
          <w:sz w:val="24"/>
          <w:szCs w:val="24"/>
          <w:lang w:val="en-US" w:eastAsia="zh-CN" w:bidi="ar"/>
        </w:rPr>
        <w:t>月</w:t>
      </w:r>
      <w:r>
        <w:rPr>
          <w:rFonts w:hint="default" w:ascii="Times New Roman" w:hAnsi="Times New Roman" w:cs="Times New Roman" w:eastAsiaTheme="minorEastAsia"/>
          <w:kern w:val="0"/>
          <w:sz w:val="24"/>
          <w:szCs w:val="24"/>
          <w:lang w:val="en-US" w:eastAsia="zh-CN" w:bidi="ar"/>
        </w:rPr>
        <w:t>31</w:t>
      </w:r>
      <w:r>
        <w:rPr>
          <w:rFonts w:hint="eastAsia" w:ascii="宋体" w:hAnsi="宋体" w:eastAsia="宋体" w:cs="宋体"/>
          <w:kern w:val="0"/>
          <w:sz w:val="24"/>
          <w:szCs w:val="24"/>
          <w:lang w:val="en-US" w:eastAsia="zh-CN" w:bidi="ar"/>
        </w:rPr>
        <w:t>日止。</w:t>
      </w:r>
    </w:p>
    <w:p>
      <w:pPr>
        <w:keepNext w:val="0"/>
        <w:keepLines w:val="0"/>
        <w:widowControl w:val="0"/>
        <w:suppressLineNumbers w:val="0"/>
        <w:autoSpaceDE w:val="0"/>
        <w:autoSpaceDN w:val="0"/>
        <w:adjustRightInd w:val="0"/>
        <w:spacing w:before="0" w:beforeAutospacing="0" w:after="0" w:afterAutospacing="0" w:line="360" w:lineRule="auto"/>
        <w:ind w:left="0" w:right="0" w:firstLine="470" w:firstLineChars="196"/>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二</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记账本位币</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以人民币作为记账本位币和报告货币。</w:t>
      </w:r>
    </w:p>
    <w:p>
      <w:pPr>
        <w:keepNext w:val="0"/>
        <w:keepLines w:val="0"/>
        <w:widowControl w:val="0"/>
        <w:suppressLineNumbers w:val="0"/>
        <w:autoSpaceDE w:val="0"/>
        <w:autoSpaceDN w:val="0"/>
        <w:adjustRightInd w:val="0"/>
        <w:spacing w:before="0" w:beforeAutospacing="0" w:after="0" w:afterAutospacing="0" w:line="360" w:lineRule="auto"/>
        <w:ind w:left="0" w:right="0" w:firstLine="470" w:firstLineChars="196"/>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三</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记账基础和会计计量属性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以权责发生制为记账基础，会计要素计量时，一般采用历史成本，如采用重置成本、可变现净值、现值、公允价值计量的会计要素金额能够取得并可靠计量时，可以采用相应计量属性计量。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（四）企业合并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、企业合并的处理方法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本公司将两个或者两个以上单独的企业合并形成一个报告主体的交易或事项确定为企业合并。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企业合并分为同一控制下企业合并和非同一控制下企业合并两种类型。</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）同一控制下企业合并在合并日的会计处理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同一控制下的企业合并，合并方按照合并日被合并方所有者权益在最终控制方合并报表中的账面价值的份额作为长期股权投资的初始投资成本计量。合并方长期股权投资初始投资成本与支付的合并对价账面价值（或发行股份面值总额）之间的差额，调整资本公积；资本公积不足冲减的，调整留存收益。合并方为进行企业合并发生的直接相关费用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）非同一控制下企业合并在购买日的会计处理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非同一控制下的企业合并，合并成本为购买方在购买日为取得对被购买方的控制权而付出的资产、发生或承担的负债以及发行的权益性证券的公允价值。购买方为进行企业合并发生的各项直接相关费用计入当期损益。在合并合同中对可能影响合并成本的未来事项作出约定的，购买日如果估计未来事项很可能发生并且对合并成本的影响金额能够可靠计量的，也计入合并成本。</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非同一控制下企业合并中所取得的被购买方符合确认条件的可辨认资产、负债及或有负债，在购买日以公允价值计量。购买方对合并成本大于合并中取得的被购买方可辨认净资产公允价值份额的差额，确认为商誉。购买方对合并成本小于合并中取得的被购买方可辨认净资产公允价值份额的，经复核后合并成本仍小于合并中取得的被购买方可辨认净资产公允价值份额的差额，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、企业合并合并财务报表的编制方法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对于同一控制下企业合并取得的子公司，在合并日编制合并报表时，视同该企业合并于合并当期的年初已经发生，从合并当期的年初起将其资产、负债、经营成果和现金流量纳入合并财务报表。</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非同一控制下企业合并取得的子公司，在购买日编制合并报表时，以购买日可辨认净资产公允价值为基础对其个别财务报表进行调整。从购买日之后起将其资产、负债、经营成果和现金流量纳入合并财务报表。</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、购买日或出售日的确定方法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）对于非同一控制下的购买股权而增加子公司的，其购买日确定方法：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同时满足下列条件的，确定实现了控制权的转移的时点：①企业合并合同或协议已获取股东大会等权利机构批准通过；②企业合并事项需要经过国家有关主管部门审批的，以获得批准；③参与合并各方已办理了必要的财产权转移手续；④购买方已支付合并价款的</w:t>
      </w:r>
      <w:r>
        <w:rPr>
          <w:rFonts w:hint="default" w:ascii="Times New Roman" w:hAnsi="Times New Roman" w:eastAsia="宋体" w:cs="Times New Roman"/>
          <w:kern w:val="0"/>
          <w:sz w:val="24"/>
          <w:szCs w:val="24"/>
          <w:lang w:val="en-US" w:eastAsia="zh-CN" w:bidi="ar"/>
        </w:rPr>
        <w:t>50%</w:t>
      </w:r>
      <w:r>
        <w:rPr>
          <w:rFonts w:hint="eastAsia" w:ascii="宋体" w:hAnsi="宋体" w:eastAsia="宋体" w:cs="宋体"/>
          <w:kern w:val="0"/>
          <w:sz w:val="24"/>
          <w:szCs w:val="24"/>
          <w:lang w:val="en-US" w:eastAsia="zh-CN" w:bidi="ar"/>
        </w:rPr>
        <w:t>以上，且有能力、有计划支付剩余款项；⑤购买方实际上已经控制了被购买方的相关活动，并享有可变回报。</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）对于非同一控制下出售股权减少子公司的，其出售日的确定方法：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同时满足下列条件的，确定丧失控制权的时点：</w:t>
      </w:r>
      <w:r>
        <w:rPr>
          <w:rFonts w:hint="default" w:ascii="Times New Roman" w:hAnsi="宋体" w:cs="Times New Roman" w:eastAsiaTheme="minorEastAsia"/>
          <w:kern w:val="0"/>
          <w:sz w:val="24"/>
          <w:szCs w:val="24"/>
          <w:lang w:val="en-US" w:eastAsia="zh-CN" w:bidi="ar"/>
        </w:rPr>
        <w:t>①出售协议已获股东大会（或股东会</w:t>
      </w:r>
      <w:r>
        <w:rPr>
          <w:rFonts w:hint="eastAsia" w:ascii="宋体" w:hAnsi="宋体" w:eastAsia="宋体" w:cs="宋体"/>
          <w:kern w:val="0"/>
          <w:sz w:val="24"/>
          <w:szCs w:val="24"/>
          <w:lang w:val="en-US" w:eastAsia="zh-CN" w:bidi="ar"/>
        </w:rPr>
        <w:t>或类似权利机构）批准通过；</w:t>
      </w:r>
      <w:r>
        <w:rPr>
          <w:rFonts w:hint="default" w:ascii="Times New Roman" w:hAnsi="宋体" w:cs="Times New Roman" w:eastAsiaTheme="minorEastAsia"/>
          <w:kern w:val="0"/>
          <w:sz w:val="24"/>
          <w:szCs w:val="24"/>
          <w:lang w:val="en-US" w:eastAsia="zh-CN" w:bidi="ar"/>
        </w:rPr>
        <w:t>②如股权转让需要经过国家有关</w:t>
      </w:r>
      <w:r>
        <w:rPr>
          <w:rFonts w:hint="eastAsia" w:ascii="宋体" w:hAnsi="宋体" w:eastAsia="宋体" w:cs="宋体"/>
          <w:kern w:val="0"/>
          <w:sz w:val="24"/>
          <w:szCs w:val="24"/>
          <w:lang w:val="en-US" w:eastAsia="zh-CN" w:bidi="ar"/>
        </w:rPr>
        <w:t>主管部门审批的，以获得批准；</w:t>
      </w:r>
      <w:r>
        <w:rPr>
          <w:rFonts w:hint="default" w:ascii="Times New Roman" w:hAnsi="宋体" w:cs="Times New Roman" w:eastAsiaTheme="minorEastAsia"/>
          <w:kern w:val="0"/>
          <w:sz w:val="24"/>
          <w:szCs w:val="24"/>
          <w:lang w:val="en-US" w:eastAsia="zh-CN" w:bidi="ar"/>
        </w:rPr>
        <w:t>③与购买方已办理必要的财产交接手续；④已取得购买价款超过</w:t>
      </w:r>
      <w:r>
        <w:rPr>
          <w:rFonts w:hint="default" w:ascii="Times New Roman" w:hAnsi="Times New Roman" w:cs="Times New Roman" w:eastAsiaTheme="minorEastAsia"/>
          <w:kern w:val="0"/>
          <w:sz w:val="24"/>
          <w:szCs w:val="24"/>
          <w:lang w:val="en-US" w:eastAsia="zh-CN" w:bidi="ar"/>
        </w:rPr>
        <w:t>50</w:t>
      </w:r>
      <w:r>
        <w:rPr>
          <w:rFonts w:hint="eastAsia" w:ascii="宋体" w:hAnsi="宋体" w:eastAsia="宋体" w:cs="宋体"/>
          <w:kern w:val="0"/>
          <w:sz w:val="24"/>
          <w:szCs w:val="24"/>
          <w:lang w:val="en-US" w:eastAsia="zh-CN" w:bidi="ar"/>
        </w:rPr>
        <w:t>％以上，且剩余款项很可能收回；</w:t>
      </w:r>
      <w:r>
        <w:rPr>
          <w:rFonts w:hint="default" w:ascii="Times New Roman" w:hAnsi="宋体" w:cs="Times New Roman" w:eastAsiaTheme="minorEastAsia"/>
          <w:kern w:val="0"/>
          <w:sz w:val="24"/>
          <w:szCs w:val="24"/>
          <w:lang w:val="en-US" w:eastAsia="zh-CN" w:bidi="ar"/>
        </w:rPr>
        <w:t>⑤企业已不能再从所持的股权中获得利益和承担风险等。</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4</w:t>
      </w:r>
      <w:r>
        <w:rPr>
          <w:rFonts w:hint="eastAsia" w:ascii="宋体" w:hAnsi="宋体" w:eastAsia="宋体" w:cs="宋体"/>
          <w:kern w:val="0"/>
          <w:sz w:val="24"/>
          <w:szCs w:val="24"/>
          <w:lang w:val="en-US" w:eastAsia="zh-CN" w:bidi="ar"/>
        </w:rPr>
        <w:t>、合并日相关交易公允价值的确定方法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非同一控制下企业合并中取得的被购买方各项可辨认资产、负债及或有负债的公允价值一般根据资产或负债的属性，分别考虑未来经济利益流入（或流出）等因素确定。采用现值、可变现净值、活跃市场价格或估值技术确定的公允价值等。</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（五）合并财务报表的编制方法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以控制为基础确定合并范围。包括本公司控制的子公司及受本公司控制的结构化主体。控制，是指本公司拥有对被投资方的权力，通过参与被投资方的相关活动而享有可变回报，并且有能力运用对被投资方的权力影响其回报金额。</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 xml:space="preserve">在判断本公司是否拥有对被投资方的权力时，本公司仅考虑与被投资方相关的实质性权利 </w:t>
      </w:r>
      <w:r>
        <w:rPr>
          <w:rFonts w:hint="default" w:ascii="Times New Roman" w:hAnsi="Times New Roman" w:eastAsia="宋体" w:cs="Times New Roman"/>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包括本公司自身所享有的及其他方所享有的实质性权利 </w:t>
      </w:r>
      <w:r>
        <w:rPr>
          <w:rFonts w:hint="default" w:ascii="Times New Roman" w:hAnsi="Times New Roman" w:eastAsia="宋体" w:cs="Times New Roman"/>
          <w:kern w:val="0"/>
          <w:sz w:val="24"/>
          <w:szCs w:val="24"/>
          <w:lang w:val="en-US" w:eastAsia="zh-CN" w:bidi="ar"/>
        </w:rPr>
        <w:t xml:space="preserve">) </w:t>
      </w:r>
      <w:r>
        <w:rPr>
          <w:rFonts w:hint="eastAsia" w:ascii="宋体" w:hAnsi="宋体" w:eastAsia="宋体" w:cs="宋体"/>
          <w:kern w:val="0"/>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合并财务报表在遵循一体化原则基础上，合并抵销合并范围内的所有重大内部交易和往来。子公司少数股东应占的权益、损益和综合收益总额分别在合并资产负债表的股东权益中和合并利润表的净利润及综合收益总额项目后单独列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子公司与本公司采用的会计政策或会计期间不一致的，在编制合并财务报表时，按照本公司的会计政策或会计期间对子公司财务报表进行必要的调整。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六</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现金等价物的确定标准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本公司在编制现金流量表时所确定的现金，是指本公司库存现金以及可以随时用于支付的存款。</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本公司在编制现金流量表时所确定的现金等价物，是指本公司持有的期限短、流动性强、易于转换为已知金额现金、价值变动风险很小的投资。</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宋体"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七</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金融工具</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1</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金融资产及金融负债的确认和计量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和金融负债在三江发控公司成为相关金融工具合同条款的一方时，于资产负债表内确认。三江发控公司在初始确认时按取得资产或承担负债的目的，把金融资产和金融负债分为不同类别：以公允价值计量且其变动计入当期损益的金融资产和金融负债、贷款及应收款项、持有至到期投资、可供出售金融资产和其他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在初始确认时，金融资产及金融负债均以公允价值计量。对于以公允价值计量且其变动计入当期损益的金融资产或金融负债，相关交易费用直接计入当期损益；对于其他类别的金融资产或金融负债，相关交易费用计入初始确认金额。初始确认后，金融资产和金融负债的后续计量如下：</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以公允价值计量且其变动计入当期损益的金融资产和金融负债</w:t>
      </w:r>
      <w:r>
        <w:rPr>
          <w:rFonts w:hint="default" w:ascii="Times New Roman" w:hAnsi="宋体" w:cs="Times New Roman" w:eastAsiaTheme="minorEastAsia"/>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包括交易性金融资产或金融负债</w:t>
      </w:r>
      <w:r>
        <w:rPr>
          <w:rFonts w:hint="default" w:ascii="Times New Roman" w:hAnsi="Times New Roman"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持有为了近期内出售或回购的金融资产和金融负债及衍生工具属于此类。但是被指定且为有效套期工具的衍生工具、属于财务担保合同的衍生工具、与在活跃市场中没有报价且其公允价值不能可靠计量的权益工具投资挂钩并须通过交付该权益工具结算的衍生工具除外。</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初始确认后，以公允价值计量且其变动计入当期损益的金融资产和金融负债以公允价值计量，公允价值变动形成的利得或损失计入当期损益。</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应收款项</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应收款项是指在活跃市场中没有报价、回收金额固定或可确定的非衍生金融资产。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初始确认后，应收款项以实际利率法按摊余成本计量。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持有至到期投资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三江发控公司将有明确意图和能力持有至到期的且到期日固定、回收金额固定或可确定的非衍生金融资产分类为持有至到期投资。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初始确认后，持有至到期投资以实际利率法按摊余成本计量。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(4)</w:t>
      </w:r>
      <w:r>
        <w:rPr>
          <w:rFonts w:hint="eastAsia" w:ascii="宋体" w:hAnsi="宋体" w:eastAsia="宋体" w:cs="宋体"/>
          <w:kern w:val="0"/>
          <w:sz w:val="24"/>
          <w:szCs w:val="24"/>
          <w:lang w:val="en-US" w:eastAsia="zh-CN" w:bidi="ar"/>
        </w:rPr>
        <w:t>可供出售金融资产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三江发控公司将在初始确认时即被指定为可供出售的非衍生金融资产以及没有归类到其他类别的金融资产分类为可供出售金融资产。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对公允价值不能可靠计量的可供出售权益工具投资，初始确认后按成本计量；其他可供出售金融资产，初始确认后以公允价值计量，公允价值变动形成的利得或损失，除减值损失和外币货币性金融资产形成的汇兑差额计入当期损益外，其他利得或损失计入其他综合收益，在可供出售金融资产终止确认时转出，计入当期损益。可供出售权益工具投资的现金股利，在被投资单位宣告发放股利时计入当期损益。按实际利率法计算的可供出售金融资产的利息，计入当期损益</w:t>
      </w:r>
      <w:r>
        <w:rPr>
          <w:rFonts w:hint="default" w:ascii="Times New Roman" w:hAnsi="宋体" w:cs="Times New Roman" w:eastAsiaTheme="minorEastAsia"/>
          <w:kern w:val="0"/>
          <w:sz w:val="24"/>
          <w:szCs w:val="24"/>
          <w:lang w:val="en-US" w:eastAsia="zh-CN" w:bidi="ar"/>
        </w:rPr>
        <w:t xml:space="preserve"> 。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(5)</w:t>
      </w:r>
      <w:r>
        <w:rPr>
          <w:rFonts w:hint="eastAsia" w:ascii="宋体" w:hAnsi="宋体" w:eastAsia="宋体" w:cs="宋体"/>
          <w:kern w:val="0"/>
          <w:sz w:val="24"/>
          <w:szCs w:val="24"/>
          <w:lang w:val="en-US" w:eastAsia="zh-CN" w:bidi="ar"/>
        </w:rPr>
        <w:t>其他金融负债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其他金融负债是指除以公允价值计量且其变动计入当期损益的金融负债以外的金融负债。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其他金融负债包括财务担保合同负债。财务担保合同指三江发控公司作为保证人与债权人约定，当债务人不履行债务时，三江发控公司按照约定履行债务或者承担责任的合同。财务担保合同负债以初始确认金额扣除累计摊销额后的余额与按照或有事项原则确定的预计负债金额两者之间较高者进行后续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除上述以外的其他金融负债，初始确认后采用实际利率法按摊余成本计量。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2</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金融资产及金融负债的列报</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金融资产和金融负债在资产负债表内分别列示，没有相互抵销。但是，同时满足下列条件的，以相互抵销后的净额在资产负债表内列示：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三江发控公司具有抵销已确认金额的法定权利，且该种法定权利现在是当前可执行的；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三江发控公司计划以净额结算，或同时变现该金融资产和清偿该金融负债。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3</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金融资产和金融负债的终止确认</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当收取某项金融资产的现金流量的合同权利终止或将所有权上几乎所有的风险和报酬转移时，三江发控公司终止确认该金融资产。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金融资产整体转移满足终止确认条件的，三江发控公司将下列两项金额的差额计入当期损益：</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所转移金融资产的账面价值；</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因转移而收到的对价，与原直接计入股东权益的公允价值变动累计额之和。</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金融负债的现时义务全部或部分已经解除的，三江发控公司终止确认该金融负债或其一部分。</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4</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金融资产的减值</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三江发控公司在资产负债表日对以公允价值计量且其变动计入当期损益的金融资产以外的金融资产的账面价值进行检查，有客观证据表明该金融资产发生减值的，计提减值准备。</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金融资产发生减值的客观证据，包括但不限于：</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发行方或债务人发生严重财务困难；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债务人违反了合同条款，如偿付利息或本金发生违约或逾期等；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3</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债务人很可能倒闭或进行其他财务重组；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4</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因发行方发生重大财务困难，该金融资产无法在活跃市场继续交易；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5</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权益工具发行方经营所处的技术、市场、经济或法律环境等发生重大不利变化，使权益工具投资人可能无法收回投资成本；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6</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权益工具投资的公允价值发生严重下跌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即公允价值下跌超过</w:t>
      </w:r>
      <w:r>
        <w:rPr>
          <w:rFonts w:hint="default" w:ascii="Times New Roman" w:hAnsi="Times New Roman" w:cs="Times New Roman" w:eastAsiaTheme="minorEastAsia"/>
          <w:kern w:val="0"/>
          <w:sz w:val="24"/>
          <w:szCs w:val="24"/>
          <w:lang w:val="en-US" w:eastAsia="zh-CN" w:bidi="ar"/>
        </w:rPr>
        <w:t xml:space="preserve">50%) </w:t>
      </w:r>
      <w:r>
        <w:rPr>
          <w:rFonts w:hint="eastAsia" w:ascii="宋体" w:hAnsi="宋体" w:eastAsia="宋体" w:cs="宋体"/>
          <w:kern w:val="0"/>
          <w:sz w:val="24"/>
          <w:szCs w:val="24"/>
          <w:lang w:val="en-US" w:eastAsia="zh-CN" w:bidi="ar"/>
        </w:rPr>
        <w:t>或非暂时性下跌</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即公允价值下跌持续一年</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等。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其他金融资产的减值方法如下：</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a.</w:t>
      </w:r>
      <w:r>
        <w:rPr>
          <w:rFonts w:hint="eastAsia" w:ascii="宋体" w:hAnsi="宋体" w:eastAsia="宋体" w:cs="宋体"/>
          <w:kern w:val="0"/>
          <w:sz w:val="24"/>
          <w:szCs w:val="24"/>
          <w:lang w:val="en-US" w:eastAsia="zh-CN" w:bidi="ar"/>
        </w:rPr>
        <w:t>持有至到期投资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持有至到期投资按下述原则运用个别方式和组合方式评估减值损失。</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运用个别方式评估时，当持有至到期投资的预计未来现金流量</w:t>
      </w:r>
      <w:r>
        <w:rPr>
          <w:rFonts w:hint="default" w:ascii="Times New Roman" w:hAnsi="宋体" w:cs="Times New Roman" w:eastAsiaTheme="minorEastAsia"/>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不包括尚未发生的未来信用损失</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按原实际利率折现的现值低于其账面价值时，三江发控公司将该持有至到期投资的账面价值减记至该现值，减记的金额确认为资产减值损失，计入当期损益。</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当运用组合方式评估持有至到期投资的减值损失时，减值损失金额是根据具有类似信用风险特征的持有至到期投资</w:t>
      </w:r>
      <w:r>
        <w:rPr>
          <w:rFonts w:hint="default" w:ascii="Times New Roman" w:hAnsi="宋体" w:cs="Times New Roman" w:eastAsiaTheme="minorEastAsia"/>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包括以个别方式评估未发生减值的持有至到期投资</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的以往损失经验，并根据反映当前经济状况的可观察数据进行调整确定的。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2"/>
          <w:sz w:val="24"/>
          <w:szCs w:val="24"/>
        </w:rPr>
      </w:pPr>
      <w:r>
        <w:rPr>
          <w:rFonts w:hint="eastAsia" w:ascii="宋体" w:hAnsi="宋体" w:eastAsia="宋体" w:cs="宋体"/>
          <w:kern w:val="0"/>
          <w:sz w:val="24"/>
          <w:szCs w:val="24"/>
          <w:lang w:val="en-US" w:eastAsia="zh-CN" w:bidi="ar"/>
        </w:rPr>
        <w:t>持有至到期投资确认减值损失后，如有客观证据表明该金融资产价值已恢复，且客观上与确认该损失后发生的事项有关，三江发控公司将原确认的减值损失予以转回，计</w:t>
      </w:r>
      <w:r>
        <w:rPr>
          <w:rFonts w:hint="eastAsia" w:ascii="宋体" w:hAnsi="宋体" w:eastAsia="宋体" w:cs="宋体"/>
          <w:kern w:val="2"/>
          <w:sz w:val="24"/>
          <w:szCs w:val="24"/>
          <w:lang w:val="en-US" w:eastAsia="zh-CN" w:bidi="ar"/>
        </w:rPr>
        <w:t>入当期损益。该转回后的账面价值不超过假定不计提减值准备情况下该金融资产在转回日的摊余成本。</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Times New Roman" w:eastAsia="宋体" w:cs="Times New Roman"/>
          <w:kern w:val="2"/>
          <w:sz w:val="24"/>
          <w:szCs w:val="24"/>
          <w:lang w:val="en-US" w:eastAsia="zh-CN" w:bidi="ar"/>
        </w:rPr>
        <w:t>b.</w:t>
      </w:r>
      <w:r>
        <w:rPr>
          <w:rFonts w:hint="eastAsia" w:ascii="宋体" w:hAnsi="宋体" w:eastAsia="宋体" w:cs="宋体"/>
          <w:kern w:val="2"/>
          <w:sz w:val="24"/>
          <w:szCs w:val="24"/>
          <w:lang w:val="en-US" w:eastAsia="zh-CN" w:bidi="ar"/>
        </w:rPr>
        <w:t>可供出售金融资产</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可供出售金融资产运用个别方式和组合方式评估减值损失。可供出售金融资产发生减值时，损失从股东权益转出，计入当期损益。</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对于已确认减值损失的可供出售债务工具，在随后的会计期间公允价值已上升且客观上与确认原减值损失后发生的事项有关的，三江发控公司将原确认的减值损失予以转回，计入当期损益。可供出售权益工具投资发生的减值损失，不通过损益转回。在活跃市场中没有报价且其公允价值不能可靠计量的权益工具投资，不得转回。</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5</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权益工具</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三江发控公司发行权益工具收到的对价扣除交易费用后，计入股东权益。回购三江发控公司权益工具支付的对价和交易费用，减少股东权益。</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八</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应收款项坏账损失核算方法</w:t>
      </w:r>
    </w:p>
    <w:p>
      <w:pPr>
        <w:pStyle w:val="4"/>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本公司应收款项主要包括应收账款、预付账款和其他应收款等。在资产负债表日有客观证据表明其发生了减值的，本公司根据其账面价值与预计未来现金流量现值之间差额确认减值损失。</w:t>
      </w:r>
    </w:p>
    <w:p>
      <w:pPr>
        <w:pStyle w:val="4"/>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1、单项金额重大并单项计提坏账准备的应收款项：</w:t>
      </w:r>
    </w:p>
    <w:tbl>
      <w:tblPr>
        <w:tblStyle w:val="5"/>
        <w:tblW w:w="9287"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4064"/>
        <w:gridCol w:w="5223"/>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4064" w:type="dxa"/>
            <w:tcBorders>
              <w:top w:val="single" w:color="auto" w:sz="8" w:space="0"/>
              <w:left w:val="nil"/>
              <w:bottom w:val="dotted" w:color="auto" w:sz="4" w:space="0"/>
              <w:right w:val="dotted" w:color="auto" w:sz="4" w:space="0"/>
            </w:tcBorders>
            <w:shd w:val="clear" w:color="auto" w:fill="auto"/>
            <w:vAlign w:val="center"/>
          </w:tcPr>
          <w:p>
            <w:pPr>
              <w:pStyle w:val="4"/>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单项金额重大的判断依据或金额标准</w:t>
            </w:r>
          </w:p>
        </w:tc>
        <w:tc>
          <w:tcPr>
            <w:tcW w:w="5223" w:type="dxa"/>
            <w:tcBorders>
              <w:top w:val="single" w:color="auto" w:sz="8" w:space="0"/>
              <w:left w:val="dotted" w:color="auto" w:sz="4" w:space="0"/>
              <w:bottom w:val="dotted" w:color="auto" w:sz="4" w:space="0"/>
              <w:right w:val="nil"/>
            </w:tcBorders>
            <w:shd w:val="clear" w:color="auto" w:fill="auto"/>
            <w:vAlign w:val="center"/>
          </w:tcPr>
          <w:p>
            <w:pPr>
              <w:pStyle w:val="4"/>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应收款项账面余额在</w:t>
            </w:r>
            <w:r>
              <w:rPr>
                <w:rFonts w:hint="eastAsia" w:ascii="宋体" w:hAnsi="宋体" w:eastAsia="宋体" w:cs="Arial"/>
                <w:kern w:val="0"/>
                <w:sz w:val="24"/>
                <w:szCs w:val="24"/>
              </w:rPr>
              <w:t>100.00万以上的款项</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340" w:hRule="atLeast"/>
          <w:jc w:val="center"/>
        </w:trPr>
        <w:tc>
          <w:tcPr>
            <w:tcW w:w="4064" w:type="dxa"/>
            <w:tcBorders>
              <w:top w:val="dotted" w:color="auto" w:sz="4" w:space="0"/>
              <w:left w:val="nil"/>
              <w:bottom w:val="single" w:color="auto" w:sz="8" w:space="0"/>
              <w:right w:val="dotted" w:color="auto" w:sz="4" w:space="0"/>
            </w:tcBorders>
            <w:shd w:val="clear" w:color="auto" w:fill="auto"/>
            <w:vAlign w:val="center"/>
          </w:tcPr>
          <w:p>
            <w:pPr>
              <w:pStyle w:val="4"/>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单项金额重大并单项计提坏账准备的计提方法</w:t>
            </w:r>
          </w:p>
        </w:tc>
        <w:tc>
          <w:tcPr>
            <w:tcW w:w="5223" w:type="dxa"/>
            <w:tcBorders>
              <w:top w:val="dotted" w:color="auto" w:sz="4" w:space="0"/>
              <w:left w:val="dotted" w:color="auto" w:sz="4" w:space="0"/>
              <w:bottom w:val="single" w:color="auto" w:sz="8" w:space="0"/>
              <w:right w:val="nil"/>
            </w:tcBorders>
            <w:shd w:val="clear" w:color="auto" w:fill="auto"/>
            <w:vAlign w:val="center"/>
          </w:tcPr>
          <w:p>
            <w:pPr>
              <w:pStyle w:val="4"/>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根据其账面价值与预计未来现金流量现值之间差额确认</w:t>
            </w:r>
          </w:p>
        </w:tc>
      </w:tr>
    </w:tbl>
    <w:p>
      <w:pPr>
        <w:pStyle w:val="4"/>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2、按组合计提坏账准备的应收款项：</w:t>
      </w:r>
    </w:p>
    <w:tbl>
      <w:tblPr>
        <w:tblStyle w:val="5"/>
        <w:tblW w:w="9287"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3104"/>
        <w:gridCol w:w="6183"/>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40" w:hRule="atLeast"/>
          <w:jc w:val="center"/>
        </w:trPr>
        <w:tc>
          <w:tcPr>
            <w:tcW w:w="3104" w:type="dxa"/>
            <w:tcBorders>
              <w:top w:val="single" w:color="auto" w:sz="8" w:space="0"/>
              <w:left w:val="nil"/>
              <w:bottom w:val="dotted" w:color="auto" w:sz="4" w:space="0"/>
              <w:right w:val="dotted" w:color="auto" w:sz="4" w:space="0"/>
            </w:tcBorders>
            <w:shd w:val="clear" w:color="auto" w:fill="FFFFFF"/>
            <w:vAlign w:val="bottom"/>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信用风险组合</w:t>
            </w:r>
          </w:p>
        </w:tc>
        <w:tc>
          <w:tcPr>
            <w:tcW w:w="6183" w:type="dxa"/>
            <w:tcBorders>
              <w:top w:val="single" w:color="auto" w:sz="8" w:space="0"/>
              <w:left w:val="dotted" w:color="auto" w:sz="4" w:space="0"/>
              <w:bottom w:val="dotted" w:color="auto" w:sz="4" w:space="0"/>
              <w:right w:val="nil"/>
            </w:tcBorders>
            <w:shd w:val="clear" w:color="auto" w:fill="FFFFFF"/>
            <w:vAlign w:val="bottom"/>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计提坏账的方法</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04" w:type="dxa"/>
            <w:tcBorders>
              <w:top w:val="dotted" w:color="auto" w:sz="4" w:space="0"/>
              <w:left w:val="nil"/>
              <w:bottom w:val="dotted" w:color="auto" w:sz="4" w:space="0"/>
              <w:right w:val="dotted" w:color="auto" w:sz="4" w:space="0"/>
            </w:tcBorders>
            <w:shd w:val="clear" w:color="auto" w:fill="auto"/>
            <w:vAlign w:val="bottom"/>
          </w:tcPr>
          <w:p>
            <w:pPr>
              <w:pStyle w:val="4"/>
              <w:widowControl/>
              <w:snapToGrid w:val="0"/>
              <w:spacing w:line="460" w:lineRule="exact"/>
              <w:jc w:val="center"/>
              <w:rPr>
                <w:rFonts w:hint="eastAsia" w:ascii="宋体" w:hAnsi="宋体" w:eastAsia="宋体" w:cs="Arial"/>
                <w:kern w:val="0"/>
                <w:sz w:val="24"/>
                <w:szCs w:val="24"/>
              </w:rPr>
            </w:pPr>
            <w:r>
              <w:rPr>
                <w:rFonts w:hint="eastAsia" w:ascii="宋体" w:hAnsi="宋体" w:eastAsia="宋体" w:cs="宋体"/>
                <w:kern w:val="0"/>
                <w:sz w:val="24"/>
                <w:szCs w:val="24"/>
              </w:rPr>
              <w:t>组合</w:t>
            </w:r>
            <w:r>
              <w:rPr>
                <w:rFonts w:hint="eastAsia" w:ascii="宋体" w:hAnsi="宋体" w:eastAsia="宋体" w:cs="Arial"/>
                <w:kern w:val="0"/>
                <w:sz w:val="24"/>
                <w:szCs w:val="24"/>
              </w:rPr>
              <w:t>1：关联方应收款项</w:t>
            </w:r>
          </w:p>
        </w:tc>
        <w:tc>
          <w:tcPr>
            <w:tcW w:w="6183" w:type="dxa"/>
            <w:tcBorders>
              <w:top w:val="dotted" w:color="auto" w:sz="4" w:space="0"/>
              <w:left w:val="dotted" w:color="auto" w:sz="4" w:space="0"/>
              <w:bottom w:val="dotted" w:color="auto" w:sz="4" w:space="0"/>
              <w:right w:val="nil"/>
            </w:tcBorders>
            <w:shd w:val="clear" w:color="auto" w:fill="auto"/>
            <w:vAlign w:val="bottom"/>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不计提坏账</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04" w:type="dxa"/>
            <w:tcBorders>
              <w:top w:val="dotted" w:color="auto" w:sz="4" w:space="0"/>
              <w:left w:val="nil"/>
              <w:bottom w:val="dotted" w:color="auto" w:sz="4" w:space="0"/>
              <w:right w:val="dotted" w:color="auto" w:sz="4" w:space="0"/>
            </w:tcBorders>
            <w:shd w:val="clear" w:color="auto" w:fill="auto"/>
            <w:vAlign w:val="bottom"/>
          </w:tcPr>
          <w:p>
            <w:pPr>
              <w:pStyle w:val="4"/>
              <w:widowControl/>
              <w:snapToGrid w:val="0"/>
              <w:spacing w:line="460" w:lineRule="exact"/>
              <w:jc w:val="center"/>
              <w:rPr>
                <w:rFonts w:hint="eastAsia" w:ascii="宋体" w:hAnsi="宋体" w:eastAsia="宋体" w:cs="Arial"/>
                <w:kern w:val="0"/>
                <w:sz w:val="24"/>
                <w:szCs w:val="24"/>
              </w:rPr>
            </w:pPr>
            <w:r>
              <w:rPr>
                <w:rFonts w:hint="eastAsia" w:ascii="宋体" w:hAnsi="宋体" w:eastAsia="宋体" w:cs="宋体"/>
                <w:kern w:val="0"/>
                <w:sz w:val="24"/>
                <w:szCs w:val="24"/>
              </w:rPr>
              <w:t>组合</w:t>
            </w:r>
            <w:r>
              <w:rPr>
                <w:rFonts w:hint="eastAsia" w:ascii="宋体" w:hAnsi="宋体" w:eastAsia="宋体" w:cs="Arial"/>
                <w:kern w:val="0"/>
                <w:sz w:val="24"/>
                <w:szCs w:val="24"/>
              </w:rPr>
              <w:t>2：无信用风险组合</w:t>
            </w:r>
          </w:p>
        </w:tc>
        <w:tc>
          <w:tcPr>
            <w:tcW w:w="6183" w:type="dxa"/>
            <w:tcBorders>
              <w:top w:val="dotted" w:color="auto" w:sz="4" w:space="0"/>
              <w:left w:val="dotted" w:color="auto" w:sz="4" w:space="0"/>
              <w:bottom w:val="dotted" w:color="auto" w:sz="4" w:space="0"/>
              <w:right w:val="nil"/>
            </w:tcBorders>
            <w:shd w:val="clear" w:color="auto" w:fill="auto"/>
            <w:vAlign w:val="bottom"/>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不计提坏账</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40" w:hRule="atLeast"/>
          <w:jc w:val="center"/>
        </w:trPr>
        <w:tc>
          <w:tcPr>
            <w:tcW w:w="3104" w:type="dxa"/>
            <w:tcBorders>
              <w:top w:val="dotted" w:color="auto" w:sz="4" w:space="0"/>
              <w:left w:val="nil"/>
              <w:bottom w:val="single" w:color="auto" w:sz="8" w:space="0"/>
              <w:right w:val="dotted" w:color="auto" w:sz="4" w:space="0"/>
            </w:tcBorders>
            <w:shd w:val="clear" w:color="auto" w:fill="auto"/>
            <w:vAlign w:val="bottom"/>
          </w:tcPr>
          <w:p>
            <w:pPr>
              <w:pStyle w:val="4"/>
              <w:widowControl/>
              <w:snapToGrid w:val="0"/>
              <w:spacing w:line="460" w:lineRule="exact"/>
              <w:jc w:val="center"/>
              <w:rPr>
                <w:rFonts w:hint="eastAsia" w:ascii="宋体" w:hAnsi="宋体" w:eastAsia="宋体" w:cs="Arial"/>
                <w:kern w:val="0"/>
                <w:sz w:val="24"/>
                <w:szCs w:val="24"/>
              </w:rPr>
            </w:pPr>
            <w:r>
              <w:rPr>
                <w:rFonts w:hint="eastAsia" w:ascii="宋体" w:hAnsi="宋体" w:eastAsia="宋体" w:cs="宋体"/>
                <w:kern w:val="0"/>
                <w:sz w:val="24"/>
                <w:szCs w:val="24"/>
              </w:rPr>
              <w:t>组合</w:t>
            </w:r>
            <w:r>
              <w:rPr>
                <w:rFonts w:hint="eastAsia" w:ascii="宋体" w:hAnsi="宋体" w:eastAsia="宋体" w:cs="Arial"/>
                <w:kern w:val="0"/>
                <w:sz w:val="24"/>
                <w:szCs w:val="24"/>
              </w:rPr>
              <w:t>3：账龄分析法组合</w:t>
            </w:r>
          </w:p>
        </w:tc>
        <w:tc>
          <w:tcPr>
            <w:tcW w:w="6183" w:type="dxa"/>
            <w:tcBorders>
              <w:top w:val="dotted" w:color="auto" w:sz="4" w:space="0"/>
              <w:left w:val="dotted" w:color="auto" w:sz="4" w:space="0"/>
              <w:bottom w:val="single" w:color="auto" w:sz="8" w:space="0"/>
              <w:right w:val="nil"/>
            </w:tcBorders>
            <w:shd w:val="clear" w:color="auto" w:fill="auto"/>
            <w:vAlign w:val="bottom"/>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按账龄期限计提坏账</w:t>
            </w:r>
          </w:p>
        </w:tc>
      </w:tr>
    </w:tbl>
    <w:p>
      <w:pPr>
        <w:pStyle w:val="4"/>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组合中，采用账龄分析法计提坏账准备情况如下：</w:t>
      </w:r>
    </w:p>
    <w:tbl>
      <w:tblPr>
        <w:tblStyle w:val="5"/>
        <w:tblW w:w="9287"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3232"/>
        <w:gridCol w:w="3017"/>
        <w:gridCol w:w="3038"/>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40" w:hRule="atLeast"/>
          <w:jc w:val="center"/>
        </w:trPr>
        <w:tc>
          <w:tcPr>
            <w:tcW w:w="3232" w:type="dxa"/>
            <w:tcBorders>
              <w:top w:val="single" w:color="auto" w:sz="8" w:space="0"/>
              <w:left w:val="nil"/>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账龄</w:t>
            </w:r>
          </w:p>
        </w:tc>
        <w:tc>
          <w:tcPr>
            <w:tcW w:w="3017" w:type="dxa"/>
            <w:tcBorders>
              <w:top w:val="single" w:color="auto" w:sz="8" w:space="0"/>
              <w:left w:val="dotted" w:color="auto" w:sz="4" w:space="0"/>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应收账款计提比例（</w:t>
            </w:r>
            <w:r>
              <w:rPr>
                <w:rFonts w:hint="eastAsia" w:ascii="宋体" w:hAnsi="宋体" w:eastAsia="宋体" w:cs="Arial"/>
                <w:kern w:val="0"/>
                <w:sz w:val="24"/>
                <w:szCs w:val="24"/>
              </w:rPr>
              <w:t>%）</w:t>
            </w:r>
          </w:p>
        </w:tc>
        <w:tc>
          <w:tcPr>
            <w:tcW w:w="3038" w:type="dxa"/>
            <w:tcBorders>
              <w:top w:val="single" w:color="auto" w:sz="8" w:space="0"/>
              <w:left w:val="dotted" w:color="auto" w:sz="4" w:space="0"/>
              <w:bottom w:val="dotted" w:color="auto" w:sz="4" w:space="0"/>
              <w:right w:val="nil"/>
            </w:tcBorders>
            <w:shd w:val="clear" w:color="auto" w:fill="FFFFFF"/>
            <w:vAlign w:val="center"/>
          </w:tcPr>
          <w:p>
            <w:pPr>
              <w:pStyle w:val="4"/>
              <w:widowControl/>
              <w:snapToGrid w:val="0"/>
              <w:spacing w:line="460" w:lineRule="exact"/>
              <w:jc w:val="both"/>
              <w:rPr>
                <w:rFonts w:hint="eastAsia" w:ascii="宋体" w:hAnsi="宋体" w:eastAsia="宋体" w:cs="Arial"/>
                <w:kern w:val="0"/>
                <w:sz w:val="24"/>
                <w:szCs w:val="24"/>
              </w:rPr>
            </w:pPr>
            <w:r>
              <w:rPr>
                <w:rFonts w:hint="eastAsia" w:ascii="宋体" w:hAnsi="宋体" w:eastAsia="宋体" w:cs="宋体"/>
                <w:kern w:val="0"/>
                <w:sz w:val="24"/>
                <w:szCs w:val="24"/>
              </w:rPr>
              <w:t>其他应收款计提比例（</w:t>
            </w:r>
            <w:r>
              <w:rPr>
                <w:rFonts w:hint="eastAsia" w:ascii="宋体" w:hAnsi="宋体" w:eastAsia="宋体" w:cs="Arial"/>
                <w:kern w:val="0"/>
                <w:sz w:val="24"/>
                <w:szCs w:val="24"/>
              </w:rPr>
              <w:t>%）</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1年以内（含1年）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1至2年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2至3年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20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20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3至4年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30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30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4至5年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single" w:color="auto" w:sz="8"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5年以上</w:t>
            </w:r>
          </w:p>
        </w:tc>
        <w:tc>
          <w:tcPr>
            <w:tcW w:w="3017" w:type="dxa"/>
            <w:tcBorders>
              <w:top w:val="dotted" w:color="auto" w:sz="4" w:space="0"/>
              <w:left w:val="dotted" w:color="auto" w:sz="4" w:space="0"/>
              <w:bottom w:val="single" w:color="auto" w:sz="8" w:space="0"/>
              <w:right w:val="dotted" w:color="auto" w:sz="4" w:space="0"/>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100</w:t>
            </w:r>
          </w:p>
        </w:tc>
        <w:tc>
          <w:tcPr>
            <w:tcW w:w="3038" w:type="dxa"/>
            <w:tcBorders>
              <w:top w:val="dotted" w:color="auto" w:sz="4" w:space="0"/>
              <w:left w:val="dotted" w:color="auto" w:sz="4" w:space="0"/>
              <w:bottom w:val="single" w:color="auto" w:sz="8" w:space="0"/>
              <w:right w:val="nil"/>
            </w:tcBorders>
            <w:shd w:val="clear" w:color="auto" w:fill="FFFFFF"/>
            <w:vAlign w:val="center"/>
          </w:tcPr>
          <w:p>
            <w:pPr>
              <w:pStyle w:val="4"/>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100</w:t>
            </w:r>
          </w:p>
        </w:tc>
      </w:tr>
    </w:tbl>
    <w:p>
      <w:pPr>
        <w:pStyle w:val="4"/>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3、单项金额虽不重大但应单项计提坏账准备的应收账款</w:t>
      </w:r>
    </w:p>
    <w:p>
      <w:pPr>
        <w:pStyle w:val="4"/>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本公司对单项金额虽不重大但出现下列情况的应收账款和其他应收款单项计提坏账准备；具体为涉诉款项、客户信用状况恶化、出现严重亏损、预期无法偿还等。</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九</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存货</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firstLineChars="250"/>
        <w:jc w:val="left"/>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0"/>
          <w:sz w:val="24"/>
          <w:szCs w:val="24"/>
          <w:lang w:val="en-US" w:eastAsia="zh-CN" w:bidi="ar"/>
        </w:rPr>
        <w:t>存货分类</w:t>
      </w:r>
      <w:r>
        <w:rPr>
          <w:rFonts w:hint="eastAsia" w:ascii="宋体" w:hAnsi="宋体" w:eastAsia="宋体" w:cs="宋体"/>
          <w:kern w:val="2"/>
          <w:sz w:val="24"/>
          <w:szCs w:val="24"/>
          <w:lang w:val="en-US" w:eastAsia="zh-CN" w:bidi="ar"/>
        </w:rPr>
        <w:t>：三江发控公司的存货分为原材料、库存商品、低值易耗品、开发成本、开发产品等。</w:t>
      </w:r>
    </w:p>
    <w:p>
      <w:pPr>
        <w:keepNext w:val="0"/>
        <w:keepLines w:val="0"/>
        <w:widowControl w:val="0"/>
        <w:suppressLineNumbers w:val="0"/>
        <w:spacing w:before="0" w:beforeAutospacing="0" w:after="0" w:afterAutospacing="0" w:line="360" w:lineRule="auto"/>
        <w:ind w:left="0" w:right="1" w:firstLine="600" w:firstLineChars="250"/>
        <w:contextualSpacing/>
        <w:jc w:val="both"/>
        <w:outlineLvl w:val="0"/>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2.</w:t>
      </w:r>
      <w:r>
        <w:rPr>
          <w:rFonts w:hint="eastAsia" w:ascii="宋体" w:hAnsi="宋体" w:eastAsia="宋体" w:cs="宋体"/>
          <w:kern w:val="0"/>
          <w:sz w:val="24"/>
          <w:szCs w:val="24"/>
          <w:lang w:val="en-US" w:eastAsia="zh-CN" w:bidi="ar"/>
        </w:rPr>
        <w:t>存货计价方法和摊销方法：</w:t>
      </w:r>
      <w:r>
        <w:rPr>
          <w:rFonts w:hint="eastAsia" w:ascii="宋体" w:hAnsi="宋体" w:eastAsia="宋体" w:cs="宋体"/>
          <w:color w:val="000000"/>
          <w:kern w:val="2"/>
          <w:sz w:val="24"/>
          <w:szCs w:val="24"/>
          <w:lang w:val="en-US" w:eastAsia="zh-CN" w:bidi="ar"/>
        </w:rPr>
        <w:t>存货在取得时以成本进行初始计量；开发产品的发出成本按个别认定法计价；领用或发出原材料、库存商品时按加权平均法计价；低值易耗品于领用或发出时按一次性摊销法摊销。</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开发产品、开发成本的核算方法：开发成本在实际发生时，按开发项目归集。开发项目竣工验收后，将该项目全部开发成本（含应分摊支出）转入开发产品。</w:t>
      </w:r>
    </w:p>
    <w:p>
      <w:pPr>
        <w:keepNext w:val="0"/>
        <w:keepLines w:val="0"/>
        <w:widowControl w:val="0"/>
        <w:suppressLineNumbers w:val="0"/>
        <w:spacing w:before="0" w:beforeAutospacing="0" w:after="0" w:afterAutospacing="0" w:line="360" w:lineRule="auto"/>
        <w:ind w:left="0" w:right="1" w:firstLine="600" w:firstLineChars="250"/>
        <w:contextualSpacing/>
        <w:jc w:val="both"/>
        <w:outlineLvl w:val="0"/>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4.</w:t>
      </w:r>
      <w:r>
        <w:rPr>
          <w:rFonts w:hint="eastAsia" w:ascii="宋体" w:hAnsi="宋体" w:eastAsia="宋体" w:cs="宋体"/>
          <w:kern w:val="0"/>
          <w:sz w:val="24"/>
          <w:szCs w:val="24"/>
          <w:lang w:val="en-US" w:eastAsia="zh-CN" w:bidi="ar"/>
        </w:rPr>
        <w:t>存货盘存制度：</w:t>
      </w:r>
      <w:r>
        <w:rPr>
          <w:rFonts w:hint="eastAsia" w:ascii="宋体" w:hAnsi="宋体" w:eastAsia="宋体" w:cs="宋体"/>
          <w:color w:val="000000"/>
          <w:kern w:val="2"/>
          <w:sz w:val="24"/>
          <w:szCs w:val="24"/>
          <w:lang w:val="en-US" w:eastAsia="zh-CN" w:bidi="ar"/>
        </w:rPr>
        <w:t>存货实行永续盘存制。</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r>
        <w:rPr>
          <w:rFonts w:hint="eastAsia" w:ascii="宋体" w:hAnsi="宋体" w:eastAsia="宋体" w:cs="宋体"/>
          <w:kern w:val="0"/>
          <w:sz w:val="24"/>
          <w:szCs w:val="24"/>
          <w:lang w:val="en-US" w:eastAsia="zh-CN" w:bidi="ar"/>
        </w:rPr>
        <w:t>存货跌价准备的确认标准和计提方法：</w:t>
      </w:r>
      <w:r>
        <w:rPr>
          <w:rFonts w:hint="eastAsia" w:ascii="宋体" w:hAnsi="宋体" w:eastAsia="宋体" w:cs="宋体"/>
          <w:kern w:val="2"/>
          <w:sz w:val="24"/>
          <w:szCs w:val="24"/>
          <w:lang w:val="en-US" w:eastAsia="zh-CN" w:bidi="ar"/>
        </w:rPr>
        <w:t>会计期末</w:t>
      </w:r>
      <w:r>
        <w:rPr>
          <w:rFonts w:hint="eastAsia" w:ascii="宋体" w:hAnsi="宋体" w:eastAsia="宋体" w:cs="宋体"/>
          <w:color w:val="000000"/>
          <w:kern w:val="2"/>
          <w:sz w:val="24"/>
          <w:szCs w:val="24"/>
          <w:lang w:val="en-US" w:eastAsia="zh-CN" w:bidi="ar"/>
        </w:rPr>
        <w:t>存货按照成本与可变现净值孰低计量。存货成本高于其可变现净值的差额计提存货跌价准备，计入当期损益。存货跌价准备一般按照单个存货项目计提；对于数量繁多、单价较低的存货，按照存货类别计提存货跌价准备。与在同一地区销售的产品系列相关、具有相同或类似最终用途或目的，且难以与其他项目分开计量的存货，合并计提存货跌价准备。</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rPr>
      </w:pPr>
      <w:r>
        <w:rPr>
          <w:rFonts w:hint="default" w:ascii="Times New Roman" w:hAnsi="Times New Roman" w:cs="Times New Roman" w:eastAsiaTheme="minorEastAsia"/>
          <w:kern w:val="2"/>
          <w:sz w:val="21"/>
          <w:szCs w:val="21"/>
          <w:lang w:val="en-US" w:eastAsia="zh-CN" w:bidi="ar"/>
        </w:rPr>
        <w:t xml:space="preserve">      </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长期股权投资核算方法</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长期股权投资成本确定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通过企业合并形成的长期股权投资 </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对于同一控制下的企业合并形成的对子公司的长期股权投资，三江发控公司按照合并日取得的被合并方所有者权益在最终控制方合并财务报表中的账面价值的份额作为长期股权投资的初始投资成本。长期股权投资初始投资成本与支付对价账面价值之间的差额，调整资本公积中的股本溢价；资本公积中的股本溢价不足冲减时，调整留存收益。通过非一揽子的多次交易分步实现的同一控制下企业合并形成的对子公司的长期股权投资，三江发控公司按上述原则确认的长期股权投资的初始投资成本与达到合并前的长期股权投资账面价值加上合并日进一步取得股份新支付对价的账面价值之和的差额，调整资本公积中的股本溢价，资本公积中的股本溢价不足冲减时，调整留存收益。</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对于非同一控制下企业合并形成的对子公司的长期股权投资，公司按照购买日取得对被购买方的控制权而付出的资产、发生或承担的负债以及发行的权益性证券的公允价值，作为该投资的初始投资成本。通过非一揽子的多次交易分步实现的非同一控制下企业合并形成的对子公司的长期股权投资，其初始投资成本为公司购买日之前所持被购买方的股权投资的账面价值与购买日新增投资成本之和。</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其他方式取得的长期股权投资 </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对于通过企业合并以外的其他方式取得的长期股权投资，在初始确认时，对于以支付现金取得的长期股权投资，三江发控公司按照实际支付的购买价款作为初始投资成本；对于发行权益性证券取得的长期股权投资，三江发控公司按照发行权益性证券的公允价值作为初始投资成本。</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2</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长期股权投资后续计量及损益确认方法</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对子公司的投资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采用成本法对子公司的长期股权投资进行后续计量，对被投资单位宣告分派的现金股利或利润由三江发控公司享有的部分确认为当期投资收益，但取得投资时实际支付的价款或对价中包含的已宣告但尚未发放的现金股利或利润除外。</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对子公司的投资按照成本减去减值准备后在资产负债表内列示。</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对合营企业和联营企业的投资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合营企业指三江发控公司与其他合营方共同控制且仅对其净资产享有权利的一项安排。</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联营企业指三江发控公司能够对其施加重大影响的企业。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后续计量时，对合营企业和联营企业的长期股权投资采用权益法核算，除非投资符合持有待售条件。</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三江发控公司在采用权益法核算时的具体会计处理包括：</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对于长期股权投资的初始投资成本大于投资时应享有被投资单位可辨认净资产公允价值份额的，以前者作为长期股权投资的成本；对于长期股权投资的初始投资成本小于投资时应享有被投资单位可辨认净资产公允价值份额的，以后者作为长期股权投资的成本，长期股权投资的成本与初始投资成本的差额计入当期损益。</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取得对合营企业和联营企业投资后，三江发控公司按照应享有或应分担的被投资单位实现的净损益和其他综合收益的份额，分别确认投资损益和其他综合收益并调整长期股权投资的账面价值；按照被投资单位宣告分派的利润或现金股利计算应分得的部分，相应减少长期股权投资的账面价值。对合营企业或联营企业除净损益、其他综合收益和利润分配以外所有者权益的其他变动</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以下简称</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其他所有者权益变动</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 三江发控公司按照应享有或应分担的份额计入股东权益，并同时调整长期股权投资的账面价值。</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在计算应享有或应分担的被投资单位实现的净损益、其他综合收益及所有者权益的其他变动的份额时，三江发控公司以取得投资时被投资单位可辨认净资产公允价值为基础，按照三江发控公司的会计政策或会计期间进行必要调整后确认投资收益和其他综合收益等。三江发控公司与联营企业及合营企业之间内部交易产生的未实现损益按照应享有的比例计算归属于三江发控公司的部分，在权益法核算时予以抵销。内部交易产生的未实现损失，有证据表明该损失是相关资产减值损失的，则全额确认该损失。</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三江发控公司对合营企业或联营企业发生的净亏损，除公司负有承担额外损失义务外，以长期股权投资的账面价值以及其他实质上构成对合营企业或联营企业净投资的长期权益减记至零为限。</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合营企业或联营企业以后实现净利润的，三江发控公司在收益分享额弥补未确认的亏损分担额后，恢复确认收益分享额。</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3</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确定对被投资单位具有共同控制、重大影响的判断标准</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共同控制指按照合同约定对某项安排所共有的控制，并且该安排的相关活动</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即对安排的回报产生重大影响的活动</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必须经过分享控制权的参与方一致同意后才能决策。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三江发控公司在判断对被投资单位是否存在共同控制时，通常考虑下述事项：</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是否任何一个参与方均不能单独控制被投资单位的相关活动；</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涉及被投资单位相关活动的决策是否需要分享控制权参与方一致同意。</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重大影响指公司对被投资单位的财务和经营政策有参与决策的权力，但并不能够控制或者与其他方一起共同控制这些政策的制定。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十一</w:t>
      </w: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cs="Times New Roman" w:eastAsiaTheme="minorEastAsia"/>
          <w:kern w:val="2"/>
          <w:sz w:val="21"/>
          <w:szCs w:val="21"/>
          <w:lang w:val="en-US" w:eastAsia="zh-CN" w:bidi="ar"/>
        </w:rPr>
        <w:t xml:space="preserve"> </w:t>
      </w:r>
      <w:r>
        <w:rPr>
          <w:rFonts w:hint="eastAsia" w:ascii="宋体" w:hAnsi="宋体" w:eastAsia="宋体" w:cs="宋体"/>
          <w:kern w:val="0"/>
          <w:sz w:val="24"/>
          <w:szCs w:val="24"/>
          <w:lang w:val="en-US" w:eastAsia="zh-CN" w:bidi="ar"/>
        </w:rPr>
        <w:t>投资性房地产核算办法</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firstLineChars="25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投资性房地产包括已出租的土地使用权、持有并准备增值后转让的土地使用权和已出租的建筑物。</w:t>
      </w:r>
    </w:p>
    <w:p>
      <w:pPr>
        <w:keepNext w:val="0"/>
        <w:keepLines w:val="0"/>
        <w:widowControl w:val="0"/>
        <w:suppressLineNumbers w:val="0"/>
        <w:spacing w:before="0" w:beforeAutospacing="0" w:after="0" w:afterAutospacing="0" w:line="360" w:lineRule="auto"/>
        <w:ind w:left="0" w:right="315" w:rightChars="150" w:firstLine="600" w:firstLineChars="250"/>
        <w:contextualSpacing/>
        <w:jc w:val="both"/>
        <w:outlineLvl w:val="0"/>
        <w:rPr>
          <w:rFonts w:hint="default" w:ascii="Times New Roman" w:hAnsi="Times New Roman" w:cs="Times New Roman"/>
          <w:color w:val="000000"/>
          <w:kern w:val="2"/>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投资性房地产按照取得时的成本进行初始计量，并采用成本模式进行后续计量。采用成本模式进行后续计量的投资性房地产，</w:t>
      </w:r>
      <w:r>
        <w:rPr>
          <w:rFonts w:hint="eastAsia" w:ascii="宋体" w:hAnsi="宋体" w:eastAsia="宋体" w:cs="宋体"/>
          <w:color w:val="000000"/>
          <w:kern w:val="2"/>
          <w:sz w:val="24"/>
          <w:szCs w:val="24"/>
          <w:lang w:val="en-US" w:eastAsia="zh-CN" w:bidi="ar"/>
        </w:rPr>
        <w:t>按照</w:t>
      </w:r>
      <w:r>
        <w:rPr>
          <w:rFonts w:hint="eastAsia" w:ascii="宋体" w:hAnsi="宋体" w:eastAsia="宋体" w:cs="宋体"/>
          <w:kern w:val="2"/>
          <w:sz w:val="24"/>
          <w:szCs w:val="24"/>
          <w:lang w:val="en-US" w:eastAsia="zh-CN" w:bidi="ar"/>
        </w:rPr>
        <w:t>三江发控公司</w:t>
      </w:r>
      <w:r>
        <w:rPr>
          <w:rFonts w:hint="eastAsia" w:ascii="宋体" w:hAnsi="宋体" w:eastAsia="宋体" w:cs="宋体"/>
          <w:color w:val="000000"/>
          <w:kern w:val="2"/>
          <w:sz w:val="24"/>
          <w:szCs w:val="24"/>
          <w:lang w:val="en-US" w:eastAsia="zh-CN" w:bidi="ar"/>
        </w:rPr>
        <w:t>固定资产或无形资产的会计政策，计提折旧或进行摊销。</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投资性房地产可收回金额低于其账面价值的，按单项投资性房地产可收回金额低于账面价值的差额，确认投资性房地产减值准备。三江发控公司投资性房地产减值准备一经确认，在以后会计期间不得转回。</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十二</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固定资产</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1"/>
          <w:szCs w:val="21"/>
          <w:lang w:val="en-US" w:eastAsia="zh-CN" w:bidi="ar"/>
        </w:rPr>
        <w:t xml:space="preserve">  </w:t>
      </w:r>
      <w:r>
        <w:rPr>
          <w:rFonts w:hint="default" w:ascii="Times New Roman" w:hAnsi="Times New Roman" w:cs="Times New Roman" w:eastAsiaTheme="minorEastAsia"/>
          <w:kern w:val="2"/>
          <w:sz w:val="24"/>
          <w:szCs w:val="24"/>
          <w:lang w:val="en-US" w:eastAsia="zh-CN" w:bidi="ar"/>
        </w:rPr>
        <w:t xml:space="preserve">   1.</w:t>
      </w:r>
      <w:r>
        <w:rPr>
          <w:rFonts w:hint="eastAsia" w:ascii="宋体" w:hAnsi="宋体" w:eastAsia="宋体" w:cs="宋体"/>
          <w:kern w:val="2"/>
          <w:sz w:val="24"/>
          <w:szCs w:val="24"/>
          <w:lang w:val="en-US" w:eastAsia="zh-CN" w:bidi="ar"/>
        </w:rPr>
        <w:t>固定资产确认</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固定资产指三江发控公司为生产商品、提供劳务、出租或经营管理而持有的使用寿命超过一年的房屋建筑物、机器设备、运输工具及其他与经营有关的工器具等。</w:t>
      </w:r>
      <w:r>
        <w:rPr>
          <w:rFonts w:hint="eastAsia" w:ascii="宋体" w:hAnsi="宋体" w:eastAsia="宋体" w:cs="宋体"/>
          <w:kern w:val="0"/>
          <w:sz w:val="24"/>
          <w:szCs w:val="24"/>
          <w:lang w:val="en-US" w:eastAsia="zh-CN" w:bidi="ar"/>
        </w:rPr>
        <w:t>固定资产在同时满足下列条件时</w:t>
      </w:r>
      <w:r>
        <w:rPr>
          <w:rFonts w:hint="eastAsia" w:ascii="宋体" w:hAnsi="宋体" w:eastAsia="宋体" w:cs="宋体"/>
          <w:kern w:val="2"/>
          <w:sz w:val="24"/>
          <w:szCs w:val="24"/>
          <w:lang w:val="en-US" w:eastAsia="zh-CN" w:bidi="ar"/>
        </w:rPr>
        <w:t>予以</w:t>
      </w:r>
      <w:r>
        <w:rPr>
          <w:rFonts w:hint="eastAsia" w:ascii="宋体" w:hAnsi="宋体" w:eastAsia="宋体" w:cs="宋体"/>
          <w:kern w:val="0"/>
          <w:sz w:val="24"/>
          <w:szCs w:val="24"/>
          <w:lang w:val="en-US" w:eastAsia="zh-CN" w:bidi="ar"/>
        </w:rPr>
        <w:t>确认：</w:t>
      </w: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与该固定资产有关的经济利益很可能流入企业；</w:t>
      </w:r>
      <w:r>
        <w:rPr>
          <w:rFonts w:hint="default" w:ascii="Times New Roman" w:hAnsi="Times New Roman" w:cs="Times New Roman" w:eastAsiaTheme="minorEastAsia"/>
          <w:kern w:val="0"/>
          <w:sz w:val="24"/>
          <w:szCs w:val="24"/>
          <w:lang w:val="en-US" w:eastAsia="zh-CN" w:bidi="ar"/>
        </w:rPr>
        <w:t xml:space="preserve">(2) </w:t>
      </w:r>
      <w:r>
        <w:rPr>
          <w:rFonts w:hint="eastAsia" w:ascii="宋体" w:hAnsi="宋体" w:eastAsia="宋体" w:cs="宋体"/>
          <w:kern w:val="0"/>
          <w:sz w:val="24"/>
          <w:szCs w:val="24"/>
          <w:lang w:val="en-US" w:eastAsia="zh-CN" w:bidi="ar"/>
        </w:rPr>
        <w:t>该固定资产的成本能够可靠地计量。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2.</w:t>
      </w:r>
      <w:r>
        <w:rPr>
          <w:rFonts w:hint="eastAsia" w:ascii="宋体" w:hAnsi="宋体" w:eastAsia="宋体" w:cs="宋体"/>
          <w:kern w:val="2"/>
          <w:sz w:val="24"/>
          <w:szCs w:val="24"/>
          <w:lang w:val="en-US" w:eastAsia="zh-CN" w:bidi="ar"/>
        </w:rPr>
        <w:t>固定资产的分类</w:t>
      </w:r>
    </w:p>
    <w:p>
      <w:pPr>
        <w:pStyle w:val="3"/>
        <w:widowControl/>
        <w:spacing w:before="0" w:beforeAutospacing="1" w:after="0" w:afterAutospacing="0" w:line="360" w:lineRule="auto"/>
        <w:ind w:left="0" w:right="420" w:rightChars="200" w:firstLine="600" w:firstLineChars="250"/>
        <w:contextualSpacing/>
        <w:rPr>
          <w:rFonts w:hint="default" w:ascii="Times New Roman" w:hAnsi="Times New Roman" w:cs="Times New Roman"/>
          <w:kern w:val="2"/>
          <w:sz w:val="24"/>
          <w:szCs w:val="24"/>
        </w:rPr>
      </w:pPr>
      <w:r>
        <w:rPr>
          <w:rFonts w:hint="eastAsia" w:ascii="宋体" w:hAnsi="宋体" w:eastAsia="宋体" w:cs="宋体"/>
          <w:kern w:val="2"/>
          <w:sz w:val="24"/>
          <w:szCs w:val="24"/>
        </w:rPr>
        <w:t>固定资产分为房屋及建筑物、运输设备、电器设备及其他设备。</w:t>
      </w:r>
    </w:p>
    <w:p>
      <w:pPr>
        <w:pStyle w:val="3"/>
        <w:widowControl/>
        <w:spacing w:before="0" w:beforeAutospacing="1" w:after="0" w:afterAutospacing="0" w:line="360" w:lineRule="auto"/>
        <w:ind w:left="0" w:right="420" w:rightChars="200" w:firstLine="600" w:firstLineChars="250"/>
        <w:contextualSpacing/>
        <w:rPr>
          <w:rFonts w:hint="default" w:ascii="Times New Roman" w:hAnsi="Times New Roman" w:cs="Times New Roman"/>
          <w:kern w:val="2"/>
          <w:sz w:val="24"/>
          <w:szCs w:val="24"/>
        </w:rPr>
      </w:pPr>
      <w:r>
        <w:rPr>
          <w:rFonts w:hint="default" w:ascii="Times New Roman" w:hAnsi="Times New Roman" w:cs="Times New Roman"/>
          <w:kern w:val="2"/>
          <w:sz w:val="24"/>
          <w:szCs w:val="24"/>
        </w:rPr>
        <w:t>3.</w:t>
      </w:r>
      <w:r>
        <w:rPr>
          <w:rFonts w:hint="eastAsia" w:ascii="宋体" w:hAnsi="宋体" w:eastAsia="宋体" w:cs="宋体"/>
          <w:kern w:val="2"/>
          <w:sz w:val="24"/>
          <w:szCs w:val="24"/>
        </w:rPr>
        <w:t>固定资产按照成本进行初始计量：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(1)</w:t>
      </w:r>
      <w:r>
        <w:rPr>
          <w:rFonts w:hint="eastAsia" w:ascii="宋体" w:hAnsi="宋体" w:eastAsia="宋体" w:cs="宋体"/>
          <w:kern w:val="2"/>
          <w:sz w:val="24"/>
          <w:szCs w:val="24"/>
          <w:lang w:val="en-US" w:eastAsia="zh-CN" w:bidi="ar"/>
        </w:rPr>
        <w:t>外购固定资产的成本，包括购买价款、进口关税和其他税费，使固定资产达到预定可使用状态前所发生的可归属于该项资产的场地整理费、运输费、装卸费、安装费和专业人员服务费等；</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(2)</w:t>
      </w:r>
      <w:r>
        <w:rPr>
          <w:rFonts w:hint="eastAsia" w:ascii="宋体" w:hAnsi="宋体" w:eastAsia="宋体" w:cs="宋体"/>
          <w:kern w:val="2"/>
          <w:sz w:val="24"/>
          <w:szCs w:val="24"/>
          <w:lang w:val="en-US" w:eastAsia="zh-CN" w:bidi="ar"/>
        </w:rPr>
        <w:t>自行建造固定资产的成本，由建造该项资产达到预定可使用状态前所发生的必要支出构成；</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(3)</w:t>
      </w:r>
      <w:r>
        <w:rPr>
          <w:rFonts w:hint="eastAsia" w:ascii="宋体" w:hAnsi="宋体" w:eastAsia="宋体" w:cs="宋体"/>
          <w:kern w:val="2"/>
          <w:sz w:val="24"/>
          <w:szCs w:val="24"/>
          <w:lang w:val="en-US" w:eastAsia="zh-CN" w:bidi="ar"/>
        </w:rPr>
        <w:t>投资者投入固定资产的成本，应当按照投资合同或协议约定的价值确定，但合同或协议约定价值不公允的除外；</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(4)</w:t>
      </w:r>
      <w:r>
        <w:rPr>
          <w:rFonts w:hint="eastAsia" w:ascii="宋体" w:hAnsi="宋体" w:eastAsia="宋体" w:cs="宋体"/>
          <w:kern w:val="2"/>
          <w:sz w:val="24"/>
          <w:szCs w:val="24"/>
          <w:lang w:val="en-US" w:eastAsia="zh-CN" w:bidi="ar"/>
        </w:rPr>
        <w:t>企业合并、非货币性资产交换、债务重组、融资租赁取得的固定资产的成本，分别按《企业会计准则第</w:t>
      </w:r>
      <w:r>
        <w:rPr>
          <w:rFonts w:hint="default" w:ascii="Times New Roman" w:hAnsi="Times New Roman" w:cs="Times New Roman" w:eastAsiaTheme="minorEastAsia"/>
          <w:kern w:val="2"/>
          <w:sz w:val="24"/>
          <w:szCs w:val="24"/>
          <w:lang w:val="en-US" w:eastAsia="zh-CN" w:bidi="ar"/>
        </w:rPr>
        <w:t>20</w:t>
      </w:r>
      <w:r>
        <w:rPr>
          <w:rFonts w:hint="eastAsia" w:ascii="宋体" w:hAnsi="宋体" w:eastAsia="宋体" w:cs="宋体"/>
          <w:kern w:val="2"/>
          <w:sz w:val="24"/>
          <w:szCs w:val="24"/>
          <w:lang w:val="en-US" w:eastAsia="zh-CN" w:bidi="ar"/>
        </w:rPr>
        <w:t>号</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企业合并》、《企业会计准则第</w:t>
      </w:r>
      <w:r>
        <w:rPr>
          <w:rFonts w:hint="default" w:ascii="Times New Roman" w:hAnsi="Times New Roman" w:cs="Times New Roman" w:eastAsiaTheme="minorEastAsia"/>
          <w:kern w:val="2"/>
          <w:sz w:val="24"/>
          <w:szCs w:val="24"/>
          <w:lang w:val="en-US" w:eastAsia="zh-CN" w:bidi="ar"/>
        </w:rPr>
        <w:t>7</w:t>
      </w:r>
      <w:r>
        <w:rPr>
          <w:rFonts w:hint="eastAsia" w:ascii="宋体" w:hAnsi="宋体" w:eastAsia="宋体" w:cs="宋体"/>
          <w:kern w:val="2"/>
          <w:sz w:val="24"/>
          <w:szCs w:val="24"/>
          <w:lang w:val="en-US" w:eastAsia="zh-CN" w:bidi="ar"/>
        </w:rPr>
        <w:t>号－非货币性资产交换》、《企业会计准则第</w:t>
      </w:r>
      <w:r>
        <w:rPr>
          <w:rFonts w:hint="default" w:ascii="Times New Roman" w:hAnsi="Times New Roman" w:cs="Times New Roman" w:eastAsiaTheme="minorEastAsia"/>
          <w:kern w:val="2"/>
          <w:sz w:val="24"/>
          <w:szCs w:val="24"/>
          <w:lang w:val="en-US" w:eastAsia="zh-CN" w:bidi="ar"/>
        </w:rPr>
        <w:t>12</w:t>
      </w:r>
      <w:r>
        <w:rPr>
          <w:rFonts w:hint="eastAsia" w:ascii="宋体" w:hAnsi="宋体" w:eastAsia="宋体" w:cs="宋体"/>
          <w:kern w:val="2"/>
          <w:sz w:val="24"/>
          <w:szCs w:val="24"/>
          <w:lang w:val="en-US" w:eastAsia="zh-CN" w:bidi="ar"/>
        </w:rPr>
        <w:t>号</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债务重组》和《企业会计准则第</w:t>
      </w:r>
      <w:r>
        <w:rPr>
          <w:rFonts w:hint="default" w:ascii="Times New Roman" w:hAnsi="Times New Roman" w:cs="Times New Roman" w:eastAsiaTheme="minorEastAsia"/>
          <w:kern w:val="2"/>
          <w:sz w:val="24"/>
          <w:szCs w:val="24"/>
          <w:lang w:val="en-US" w:eastAsia="zh-CN" w:bidi="ar"/>
        </w:rPr>
        <w:t>21</w:t>
      </w:r>
      <w:r>
        <w:rPr>
          <w:rFonts w:hint="eastAsia" w:ascii="宋体" w:hAnsi="宋体" w:eastAsia="宋体" w:cs="宋体"/>
          <w:kern w:val="2"/>
          <w:sz w:val="24"/>
          <w:szCs w:val="24"/>
          <w:lang w:val="en-US" w:eastAsia="zh-CN" w:bidi="ar"/>
        </w:rPr>
        <w:t>号</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租赁》确定。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固定资产折旧采用平均年限法。按固定资产类别、预计使用年限和预计净残值率确定折旧率如下：</w:t>
      </w:r>
    </w:p>
    <w:tbl>
      <w:tblPr>
        <w:tblStyle w:val="5"/>
        <w:tblW w:w="0" w:type="auto"/>
        <w:jc w:val="center"/>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728"/>
        <w:gridCol w:w="1800"/>
        <w:gridCol w:w="1980"/>
        <w:gridCol w:w="3014"/>
      </w:tblGrid>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single" w:color="000000" w:sz="12" w:space="0"/>
              <w:left w:val="nil"/>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固定资产类别</w:t>
            </w:r>
          </w:p>
        </w:tc>
        <w:tc>
          <w:tcPr>
            <w:tcW w:w="1800" w:type="dxa"/>
            <w:tcBorders>
              <w:top w:val="single" w:color="000000" w:sz="12"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预计净残值</w:t>
            </w:r>
          </w:p>
        </w:tc>
        <w:tc>
          <w:tcPr>
            <w:tcW w:w="1980" w:type="dxa"/>
            <w:tcBorders>
              <w:top w:val="single" w:color="000000" w:sz="12"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预计使用年限</w:t>
            </w:r>
          </w:p>
        </w:tc>
        <w:tc>
          <w:tcPr>
            <w:tcW w:w="3014" w:type="dxa"/>
            <w:tcBorders>
              <w:top w:val="single" w:color="000000" w:sz="12"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年折旧率</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dotted" w:color="auto" w:sz="4" w:space="0"/>
              <w:right w:val="dotted" w:color="auto" w:sz="4" w:space="0"/>
            </w:tcBorders>
            <w:shd w:val="clear" w:color="auto" w:fill="auto"/>
            <w:vAlign w:val="center"/>
          </w:tcPr>
          <w:p>
            <w:pPr>
              <w:pStyle w:val="3"/>
              <w:widowControl/>
              <w:spacing w:before="0" w:beforeAutospacing="1" w:after="0" w:afterAutospacing="0" w:line="360" w:lineRule="auto"/>
              <w:ind w:left="0" w:right="-65" w:rightChars="-31" w:firstLine="0" w:firstLineChars="0"/>
              <w:rPr>
                <w:rFonts w:hint="default" w:ascii="Times New Roman" w:hAnsi="Times New Roman" w:cs="Times New Roman"/>
                <w:kern w:val="2"/>
                <w:sz w:val="24"/>
                <w:szCs w:val="24"/>
              </w:rPr>
            </w:pPr>
            <w:r>
              <w:rPr>
                <w:rFonts w:hint="eastAsia" w:ascii="宋体" w:hAnsi="宋体" w:eastAsia="宋体" w:cs="宋体"/>
                <w:kern w:val="2"/>
                <w:sz w:val="24"/>
                <w:szCs w:val="24"/>
              </w:rPr>
              <w:t>房屋及建筑物</w:t>
            </w:r>
          </w:p>
        </w:tc>
        <w:tc>
          <w:tcPr>
            <w:tcW w:w="180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p>
        </w:tc>
        <w:tc>
          <w:tcPr>
            <w:tcW w:w="1980" w:type="dxa"/>
            <w:tcBorders>
              <w:top w:val="dotted" w:color="auto" w:sz="4" w:space="0"/>
              <w:left w:val="dotted" w:color="auto" w:sz="4" w:space="0"/>
              <w:bottom w:val="dotted" w:color="auto" w:sz="4" w:space="0"/>
              <w:right w:val="dotted" w:color="auto" w:sz="4" w:space="0"/>
            </w:tcBorders>
            <w:shd w:val="clear" w:color="auto" w:fill="auto"/>
            <w:vAlign w:val="center"/>
          </w:tcPr>
          <w:p>
            <w:pPr>
              <w:pStyle w:val="3"/>
              <w:widowControl/>
              <w:spacing w:before="0" w:beforeAutospacing="1" w:after="0" w:afterAutospacing="0" w:line="360" w:lineRule="auto"/>
              <w:ind w:left="0" w:right="420" w:rightChars="20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30</w:t>
            </w:r>
            <w:r>
              <w:rPr>
                <w:rFonts w:hint="eastAsia" w:ascii="宋体" w:hAnsi="宋体" w:eastAsia="宋体" w:cs="宋体"/>
                <w:kern w:val="2"/>
                <w:sz w:val="24"/>
                <w:szCs w:val="24"/>
              </w:rPr>
              <w:t>、</w:t>
            </w:r>
            <w:r>
              <w:rPr>
                <w:rFonts w:hint="default" w:ascii="Times New Roman" w:hAnsi="Times New Roman" w:eastAsia="宋体" w:cs="Times New Roman"/>
                <w:kern w:val="2"/>
                <w:sz w:val="24"/>
                <w:szCs w:val="24"/>
              </w:rPr>
              <w:t>4</w:t>
            </w:r>
            <w:r>
              <w:rPr>
                <w:rFonts w:hint="default" w:ascii="Times New Roman" w:hAnsi="Times New Roman" w:cs="Times New Roman"/>
                <w:kern w:val="2"/>
                <w:sz w:val="24"/>
                <w:szCs w:val="24"/>
              </w:rPr>
              <w:t>0</w:t>
            </w:r>
          </w:p>
        </w:tc>
        <w:tc>
          <w:tcPr>
            <w:tcW w:w="3014" w:type="dxa"/>
            <w:tcBorders>
              <w:top w:val="dotted" w:color="auto" w:sz="4" w:space="0"/>
              <w:left w:val="dotted" w:color="auto" w:sz="4" w:space="0"/>
              <w:bottom w:val="dotted" w:color="auto" w:sz="4" w:space="0"/>
              <w:right w:val="nil"/>
            </w:tcBorders>
            <w:shd w:val="clear" w:color="auto" w:fill="auto"/>
            <w:vAlign w:val="center"/>
          </w:tcPr>
          <w:p>
            <w:pPr>
              <w:pStyle w:val="3"/>
              <w:widowControl/>
              <w:spacing w:before="0" w:beforeAutospacing="1" w:after="0" w:afterAutospacing="0" w:line="360" w:lineRule="auto"/>
              <w:ind w:left="0" w:right="420" w:rightChars="200" w:firstLine="0" w:firstLineChars="0"/>
              <w:jc w:val="center"/>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3.17%</w:t>
            </w:r>
            <w:r>
              <w:rPr>
                <w:rFonts w:hint="eastAsia" w:ascii="宋体" w:hAnsi="宋体" w:eastAsia="宋体" w:cs="宋体"/>
                <w:color w:val="000000"/>
                <w:kern w:val="2"/>
                <w:sz w:val="24"/>
                <w:szCs w:val="24"/>
              </w:rPr>
              <w:t>、</w:t>
            </w:r>
            <w:r>
              <w:rPr>
                <w:rFonts w:hint="default" w:ascii="Times New Roman" w:hAnsi="Times New Roman" w:eastAsia="宋体" w:cs="Times New Roman"/>
                <w:color w:val="000000"/>
                <w:kern w:val="2"/>
                <w:sz w:val="24"/>
                <w:szCs w:val="24"/>
              </w:rPr>
              <w:t>2</w:t>
            </w:r>
            <w:r>
              <w:rPr>
                <w:rFonts w:hint="default" w:ascii="Times New Roman" w:hAnsi="Times New Roman" w:cs="Times New Roman"/>
                <w:color w:val="000000"/>
                <w:kern w:val="2"/>
                <w:sz w:val="24"/>
                <w:szCs w:val="24"/>
              </w:rPr>
              <w:t>.38</w:t>
            </w:r>
            <w:r>
              <w:rPr>
                <w:rFonts w:hint="default" w:ascii="Times New Roman" w:hAnsi="Times New Roman" w:eastAsia="宋体" w:cs="Times New Roman"/>
                <w:color w:val="000000"/>
                <w:kern w:val="2"/>
                <w:sz w:val="24"/>
                <w:szCs w:val="24"/>
              </w:rPr>
              <w:t>%</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dotted" w:color="auto" w:sz="4" w:space="0"/>
              <w:right w:val="dotted" w:color="auto" w:sz="4" w:space="0"/>
            </w:tcBorders>
            <w:shd w:val="clear" w:color="auto" w:fill="auto"/>
            <w:vAlign w:val="center"/>
          </w:tcPr>
          <w:p>
            <w:pPr>
              <w:pStyle w:val="3"/>
              <w:widowControl/>
              <w:spacing w:before="0" w:beforeAutospacing="1" w:after="0" w:afterAutospacing="0" w:line="360" w:lineRule="auto"/>
              <w:ind w:left="0" w:right="420" w:rightChars="200" w:firstLine="0" w:firstLineChars="0"/>
              <w:rPr>
                <w:rFonts w:hint="eastAsia" w:ascii="宋体" w:hAnsi="宋体" w:eastAsia="宋体" w:cs="宋体"/>
                <w:kern w:val="2"/>
                <w:sz w:val="24"/>
                <w:szCs w:val="24"/>
              </w:rPr>
            </w:pPr>
            <w:r>
              <w:rPr>
                <w:rFonts w:hint="eastAsia" w:ascii="宋体" w:hAnsi="宋体" w:eastAsia="宋体" w:cs="宋体"/>
                <w:kern w:val="2"/>
                <w:sz w:val="24"/>
                <w:szCs w:val="24"/>
              </w:rPr>
              <w:t>运输设备</w:t>
            </w:r>
          </w:p>
        </w:tc>
        <w:tc>
          <w:tcPr>
            <w:tcW w:w="180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p>
        </w:tc>
        <w:tc>
          <w:tcPr>
            <w:tcW w:w="1980" w:type="dxa"/>
            <w:tcBorders>
              <w:top w:val="dotted" w:color="auto" w:sz="4" w:space="0"/>
              <w:left w:val="dotted" w:color="auto" w:sz="4" w:space="0"/>
              <w:bottom w:val="dotted" w:color="auto" w:sz="4" w:space="0"/>
              <w:right w:val="dotted" w:color="auto" w:sz="4" w:space="0"/>
            </w:tcBorders>
            <w:shd w:val="clear" w:color="auto" w:fill="auto"/>
            <w:vAlign w:val="center"/>
          </w:tcPr>
          <w:p>
            <w:pPr>
              <w:pStyle w:val="3"/>
              <w:widowControl/>
              <w:spacing w:before="0" w:beforeAutospacing="1" w:after="0" w:afterAutospacing="0" w:line="360" w:lineRule="auto"/>
              <w:ind w:left="0" w:right="420" w:rightChars="200" w:firstLine="0" w:firstLineChars="0"/>
              <w:jc w:val="center"/>
              <w:rPr>
                <w:rFonts w:hint="default" w:ascii="Times New Roman" w:hAnsi="Times New Roman" w:cs="Times New Roman"/>
                <w:kern w:val="2"/>
                <w:sz w:val="24"/>
                <w:szCs w:val="24"/>
              </w:rPr>
            </w:pPr>
            <w:r>
              <w:rPr>
                <w:rFonts w:hint="default" w:ascii="Times New Roman" w:hAnsi="Times New Roman" w:eastAsia="宋体" w:cs="Times New Roman"/>
                <w:kern w:val="2"/>
                <w:sz w:val="24"/>
                <w:szCs w:val="24"/>
              </w:rPr>
              <w:t>5</w:t>
            </w:r>
          </w:p>
        </w:tc>
        <w:tc>
          <w:tcPr>
            <w:tcW w:w="3014" w:type="dxa"/>
            <w:tcBorders>
              <w:top w:val="dotted" w:color="auto" w:sz="4" w:space="0"/>
              <w:left w:val="dotted" w:color="auto" w:sz="4" w:space="0"/>
              <w:bottom w:val="dotted" w:color="auto" w:sz="4" w:space="0"/>
              <w:right w:val="nil"/>
            </w:tcBorders>
            <w:shd w:val="clear" w:color="auto" w:fill="auto"/>
            <w:vAlign w:val="center"/>
          </w:tcPr>
          <w:p>
            <w:pPr>
              <w:pStyle w:val="3"/>
              <w:widowControl/>
              <w:spacing w:before="0" w:beforeAutospacing="1" w:after="0" w:afterAutospacing="0" w:line="360" w:lineRule="auto"/>
              <w:ind w:left="0" w:right="420" w:rightChars="200" w:firstLine="0" w:firstLineChars="0"/>
              <w:jc w:val="center"/>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19%</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dotted" w:color="auto" w:sz="4" w:space="0"/>
              <w:right w:val="dotted" w:color="auto" w:sz="4" w:space="0"/>
            </w:tcBorders>
            <w:shd w:val="clear" w:color="auto" w:fill="auto"/>
            <w:vAlign w:val="center"/>
          </w:tcPr>
          <w:p>
            <w:pPr>
              <w:pStyle w:val="3"/>
              <w:widowControl/>
              <w:spacing w:before="0" w:beforeAutospacing="1" w:after="0" w:afterAutospacing="0" w:line="360" w:lineRule="auto"/>
              <w:ind w:left="0" w:right="420" w:rightChars="200" w:firstLine="0" w:firstLineChars="0"/>
              <w:rPr>
                <w:rFonts w:hint="default" w:ascii="Times New Roman" w:hAnsi="宋体" w:cs="Times New Roman"/>
                <w:kern w:val="2"/>
                <w:sz w:val="24"/>
                <w:szCs w:val="24"/>
              </w:rPr>
            </w:pPr>
            <w:r>
              <w:rPr>
                <w:rFonts w:hint="eastAsia" w:ascii="宋体" w:hAnsi="宋体" w:eastAsia="宋体" w:cs="宋体"/>
                <w:kern w:val="2"/>
                <w:sz w:val="24"/>
                <w:szCs w:val="24"/>
              </w:rPr>
              <w:t>电器设备</w:t>
            </w:r>
          </w:p>
        </w:tc>
        <w:tc>
          <w:tcPr>
            <w:tcW w:w="180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eastAsia="宋体" w:cs="Times New Roman"/>
                <w:kern w:val="2"/>
                <w:sz w:val="24"/>
                <w:szCs w:val="24"/>
                <w:lang w:val="en-US" w:eastAsia="zh-CN" w:bidi="ar"/>
              </w:rPr>
              <w:t>5%</w:t>
            </w:r>
          </w:p>
        </w:tc>
        <w:tc>
          <w:tcPr>
            <w:tcW w:w="1980" w:type="dxa"/>
            <w:tcBorders>
              <w:top w:val="dotted" w:color="auto" w:sz="4" w:space="0"/>
              <w:left w:val="dotted" w:color="auto" w:sz="4" w:space="0"/>
              <w:bottom w:val="dotted" w:color="auto" w:sz="4" w:space="0"/>
              <w:right w:val="dotted" w:color="auto" w:sz="4" w:space="0"/>
            </w:tcBorders>
            <w:shd w:val="clear" w:color="auto" w:fill="auto"/>
            <w:vAlign w:val="center"/>
          </w:tcPr>
          <w:p>
            <w:pPr>
              <w:pStyle w:val="3"/>
              <w:widowControl/>
              <w:spacing w:before="0" w:beforeAutospacing="1" w:after="0" w:afterAutospacing="0" w:line="360" w:lineRule="auto"/>
              <w:ind w:left="0" w:right="420" w:rightChars="200" w:firstLine="0" w:firstLineChars="0"/>
              <w:jc w:val="center"/>
              <w:rPr>
                <w:rFonts w:hint="eastAsia" w:ascii="宋体" w:hAnsi="宋体" w:eastAsia="宋体" w:cs="宋体"/>
                <w:kern w:val="2"/>
                <w:sz w:val="24"/>
                <w:szCs w:val="24"/>
              </w:rPr>
            </w:pPr>
            <w:r>
              <w:rPr>
                <w:rFonts w:hint="default" w:ascii="Times New Roman" w:hAnsi="Times New Roman" w:eastAsia="宋体" w:cs="Times New Roman"/>
                <w:kern w:val="2"/>
                <w:sz w:val="24"/>
                <w:szCs w:val="24"/>
              </w:rPr>
              <w:t>3</w:t>
            </w:r>
            <w:r>
              <w:rPr>
                <w:rFonts w:hint="eastAsia" w:ascii="宋体" w:hAnsi="宋体" w:eastAsia="宋体" w:cs="宋体"/>
                <w:kern w:val="2"/>
                <w:sz w:val="24"/>
                <w:szCs w:val="24"/>
              </w:rPr>
              <w:t>、</w:t>
            </w:r>
            <w:r>
              <w:rPr>
                <w:rFonts w:hint="default" w:ascii="Times New Roman" w:hAnsi="Times New Roman" w:eastAsia="宋体" w:cs="Times New Roman"/>
                <w:kern w:val="2"/>
                <w:sz w:val="24"/>
                <w:szCs w:val="24"/>
              </w:rPr>
              <w:t>5</w:t>
            </w:r>
          </w:p>
        </w:tc>
        <w:tc>
          <w:tcPr>
            <w:tcW w:w="3014" w:type="dxa"/>
            <w:tcBorders>
              <w:top w:val="dotted" w:color="auto" w:sz="4" w:space="0"/>
              <w:left w:val="dotted" w:color="auto" w:sz="4" w:space="0"/>
              <w:bottom w:val="dotted" w:color="auto" w:sz="4" w:space="0"/>
              <w:right w:val="nil"/>
            </w:tcBorders>
            <w:shd w:val="clear" w:color="auto" w:fill="auto"/>
            <w:vAlign w:val="center"/>
          </w:tcPr>
          <w:p>
            <w:pPr>
              <w:pStyle w:val="3"/>
              <w:widowControl/>
              <w:spacing w:before="0" w:beforeAutospacing="1" w:after="0" w:afterAutospacing="0" w:line="360" w:lineRule="auto"/>
              <w:ind w:left="0" w:right="420" w:rightChars="200" w:firstLine="0" w:firstLineChars="0"/>
              <w:jc w:val="center"/>
              <w:rPr>
                <w:rFonts w:hint="default" w:ascii="Times New Roman" w:hAnsi="Times New Roman" w:cs="Times New Roman"/>
                <w:color w:val="000000"/>
                <w:kern w:val="2"/>
                <w:sz w:val="24"/>
                <w:szCs w:val="24"/>
              </w:rPr>
            </w:pPr>
            <w:r>
              <w:rPr>
                <w:rFonts w:hint="default" w:ascii="Times New Roman" w:hAnsi="Times New Roman" w:eastAsia="宋体" w:cs="Times New Roman"/>
                <w:color w:val="000000"/>
                <w:kern w:val="2"/>
                <w:sz w:val="24"/>
                <w:szCs w:val="24"/>
              </w:rPr>
              <w:t>3</w:t>
            </w:r>
            <w:r>
              <w:rPr>
                <w:rFonts w:hint="default" w:ascii="Times New Roman" w:hAnsi="Times New Roman" w:cs="Times New Roman"/>
                <w:color w:val="000000"/>
                <w:kern w:val="2"/>
                <w:sz w:val="24"/>
                <w:szCs w:val="24"/>
              </w:rPr>
              <w:t>1.67</w:t>
            </w:r>
            <w:r>
              <w:rPr>
                <w:rFonts w:hint="default" w:ascii="Times New Roman" w:hAnsi="Times New Roman" w:eastAsia="宋体" w:cs="Times New Roman"/>
                <w:color w:val="000000"/>
                <w:kern w:val="2"/>
                <w:sz w:val="24"/>
                <w:szCs w:val="24"/>
              </w:rPr>
              <w:t>%</w:t>
            </w:r>
            <w:r>
              <w:rPr>
                <w:rFonts w:hint="eastAsia" w:ascii="宋体" w:hAnsi="宋体" w:eastAsia="宋体" w:cs="宋体"/>
                <w:color w:val="000000"/>
                <w:kern w:val="2"/>
                <w:sz w:val="24"/>
                <w:szCs w:val="24"/>
              </w:rPr>
              <w:t>、</w:t>
            </w:r>
            <w:r>
              <w:rPr>
                <w:rFonts w:hint="default" w:ascii="Times New Roman" w:hAnsi="Times New Roman" w:eastAsia="宋体" w:cs="Times New Roman"/>
                <w:color w:val="000000"/>
                <w:kern w:val="2"/>
                <w:sz w:val="24"/>
                <w:szCs w:val="24"/>
              </w:rPr>
              <w:t>1</w:t>
            </w:r>
            <w:r>
              <w:rPr>
                <w:rFonts w:hint="default" w:ascii="Times New Roman" w:hAnsi="Times New Roman" w:cs="Times New Roman"/>
                <w:color w:val="000000"/>
                <w:kern w:val="2"/>
                <w:sz w:val="24"/>
                <w:szCs w:val="24"/>
              </w:rPr>
              <w:t>9</w:t>
            </w:r>
            <w:r>
              <w:rPr>
                <w:rFonts w:hint="default" w:ascii="Times New Roman" w:hAnsi="Times New Roman" w:eastAsia="宋体" w:cs="Times New Roman"/>
                <w:color w:val="000000"/>
                <w:kern w:val="2"/>
                <w:sz w:val="24"/>
                <w:szCs w:val="24"/>
              </w:rPr>
              <w:t>%</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single" w:color="000000" w:sz="12" w:space="0"/>
              <w:right w:val="dotted" w:color="auto" w:sz="4" w:space="0"/>
            </w:tcBorders>
            <w:shd w:val="clear" w:color="auto" w:fill="auto"/>
            <w:vAlign w:val="center"/>
          </w:tcPr>
          <w:p>
            <w:pPr>
              <w:pStyle w:val="10"/>
              <w:widowControl/>
              <w:spacing w:before="0" w:beforeAutospacing="0" w:after="0" w:afterAutospacing="0" w:line="360" w:lineRule="auto"/>
              <w:ind w:left="0" w:right="420" w:rightChars="200"/>
              <w:jc w:val="both"/>
              <w:rPr>
                <w:rFonts w:hint="default" w:ascii="Times New Roman" w:hAnsi="Times New Roman" w:eastAsia="宋体" w:cs="Times New Roman"/>
                <w:kern w:val="0"/>
                <w:sz w:val="24"/>
                <w:szCs w:val="24"/>
              </w:rPr>
            </w:pPr>
            <w:r>
              <w:rPr>
                <w:rFonts w:hint="eastAsia" w:ascii="宋体" w:hAnsi="宋体" w:eastAsia="宋体" w:cs="宋体"/>
                <w:kern w:val="0"/>
                <w:sz w:val="24"/>
                <w:szCs w:val="24"/>
              </w:rPr>
              <w:t>其他设备</w:t>
            </w:r>
          </w:p>
        </w:tc>
        <w:tc>
          <w:tcPr>
            <w:tcW w:w="1800" w:type="dxa"/>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p>
        </w:tc>
        <w:tc>
          <w:tcPr>
            <w:tcW w:w="1980" w:type="dxa"/>
            <w:tcBorders>
              <w:top w:val="dotted" w:color="auto" w:sz="4" w:space="0"/>
              <w:left w:val="dotted" w:color="auto" w:sz="4" w:space="0"/>
              <w:bottom w:val="single" w:color="000000" w:sz="12" w:space="0"/>
              <w:right w:val="dotted" w:color="auto" w:sz="4" w:space="0"/>
            </w:tcBorders>
            <w:shd w:val="clear" w:color="auto" w:fill="auto"/>
            <w:vAlign w:val="center"/>
          </w:tcPr>
          <w:p>
            <w:pPr>
              <w:pStyle w:val="10"/>
              <w:widowControl/>
              <w:spacing w:before="0" w:beforeAutospacing="0" w:after="0" w:afterAutospacing="0" w:line="360" w:lineRule="auto"/>
              <w:ind w:left="0" w:right="420" w:rightChars="200"/>
              <w:rPr>
                <w:rFonts w:hint="eastAsia" w:ascii="Times New Roman" w:hAnsi="Times New Roman" w:eastAsia="宋体" w:cs="宋体"/>
                <w:kern w:val="0"/>
                <w:sz w:val="24"/>
                <w:szCs w:val="24"/>
              </w:rPr>
            </w:pPr>
            <w:r>
              <w:rPr>
                <w:rFonts w:hint="default" w:ascii="Times New Roman" w:hAnsi="Times New Roman" w:eastAsia="宋体" w:cs="Times New Roman"/>
                <w:kern w:val="0"/>
                <w:sz w:val="24"/>
                <w:szCs w:val="24"/>
              </w:rPr>
              <w:t>3</w:t>
            </w:r>
          </w:p>
        </w:tc>
        <w:tc>
          <w:tcPr>
            <w:tcW w:w="3014" w:type="dxa"/>
            <w:tcBorders>
              <w:top w:val="dotted" w:color="auto" w:sz="4" w:space="0"/>
              <w:left w:val="dotted" w:color="auto" w:sz="4" w:space="0"/>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line="360" w:lineRule="auto"/>
              <w:ind w:left="0" w:right="359" w:rightChars="171"/>
              <w:jc w:val="center"/>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31.67%</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十三</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在建工程</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在建工程按实际成本计价，在建工程达到预定可使用状态时，按工程实际成本转入固定资产。对已达到预定可使用状态但尚未办理竣工决算手续的固定资产，按估计价值记账，待确定实际价值后，再进行调整。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期末时，对有证据表明在建工程已经发生了减值的，按单项在建工程预计可收回金额低于其账面价值的差额计提在建工程减值准备。资产减值损失一经确认，在以后会计期间不予转回。</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十四</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无形资产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0"/>
          <w:sz w:val="24"/>
          <w:szCs w:val="24"/>
        </w:rPr>
      </w:pPr>
      <w:r>
        <w:rPr>
          <w:rFonts w:hint="eastAsia" w:ascii="宋体" w:hAnsi="宋体" w:eastAsia="宋体" w:cs="宋体"/>
          <w:kern w:val="2"/>
          <w:sz w:val="24"/>
          <w:szCs w:val="24"/>
          <w:lang w:val="en-US" w:eastAsia="zh-CN" w:bidi="ar"/>
        </w:rPr>
        <w:t>三江发控公司的无形资产是指三江发控公司拥有或者控制的没有实物形态的可辨认非货币性资产。</w:t>
      </w:r>
      <w:r>
        <w:rPr>
          <w:rFonts w:hint="eastAsia" w:ascii="宋体" w:hAnsi="宋体" w:eastAsia="宋体" w:cs="宋体"/>
          <w:kern w:val="0"/>
          <w:sz w:val="24"/>
          <w:szCs w:val="24"/>
          <w:lang w:val="en-US" w:eastAsia="zh-CN" w:bidi="ar"/>
        </w:rPr>
        <w:t>无形资产按照成本进行初始计量。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三江发控公司对于使用寿命有限的无形资产，自取得当月起在预计使用寿命内采用直线法分期摊销。使用寿命不确定的无形资产不摊销，每年末均进行减值测试。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无形资产的应摊销金额为其成本扣除预计残值后的金额。已计提减值准备的无形资产，还应扣除已计提的无形资产减值准备累计金额。无形资产的摊销金额计入当期损益。使用寿命不确定的无形资产不摊销，期末进行减值测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1"/>
          <w:szCs w:val="21"/>
          <w:lang w:val="en-US" w:eastAsia="zh-CN" w:bidi="ar"/>
        </w:rPr>
        <w:t xml:space="preserve"> </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十五</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资产减值</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1.</w:t>
      </w:r>
      <w:r>
        <w:rPr>
          <w:rFonts w:hint="eastAsia" w:ascii="宋体" w:hAnsi="宋体" w:eastAsia="宋体" w:cs="宋体"/>
          <w:kern w:val="2"/>
          <w:sz w:val="24"/>
          <w:szCs w:val="24"/>
          <w:lang w:val="en-US" w:eastAsia="zh-CN" w:bidi="ar"/>
        </w:rPr>
        <w:t>期末，三江发控公司对长期股权投资、</w:t>
      </w:r>
      <w:r>
        <w:rPr>
          <w:rFonts w:hint="eastAsia" w:ascii="宋体" w:hAnsi="宋体" w:eastAsia="宋体" w:cs="宋体"/>
          <w:kern w:val="0"/>
          <w:sz w:val="24"/>
          <w:szCs w:val="24"/>
          <w:lang w:val="en-US" w:eastAsia="zh-CN" w:bidi="ar"/>
        </w:rPr>
        <w:t>投资性房地产、</w:t>
      </w:r>
      <w:r>
        <w:rPr>
          <w:rFonts w:hint="eastAsia" w:ascii="宋体" w:hAnsi="宋体" w:eastAsia="宋体" w:cs="宋体"/>
          <w:kern w:val="2"/>
          <w:sz w:val="24"/>
          <w:szCs w:val="24"/>
          <w:lang w:val="en-US" w:eastAsia="zh-CN" w:bidi="ar"/>
        </w:rPr>
        <w:t>固定资产、在建工程、无形资产、商誉的账面价值进行检查，有迹象表明上述资产发生减值的，先估计其可收回金额。可收回金额根据资产的公允价值减去处置费用后的净额与资产预计未来现金流量的现值两者之间较高者确定。资产可收回金额低于其账面价值的，将资产的账面价值减记至可收回金额，减记的金额确认为损失，记入当期损益。资产减值损失一经确认，在以后会计期间不得转回。</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2.</w:t>
      </w:r>
      <w:r>
        <w:rPr>
          <w:rFonts w:hint="eastAsia" w:ascii="宋体" w:hAnsi="宋体" w:eastAsia="宋体" w:cs="宋体"/>
          <w:kern w:val="2"/>
          <w:sz w:val="24"/>
          <w:szCs w:val="24"/>
          <w:lang w:val="en-US" w:eastAsia="zh-CN" w:bidi="ar"/>
        </w:rPr>
        <w:t>当有迹象表明一项资产发生减值的，三江发控公司一般以单项资产为基础估计其可收回金额。难以对单项资产的可收回金额进行估计的，以该资产所属的资产组为基础确定资产组的可收回金额。在认定资产组时，以资产组产生的主要现金流入是否独立于其他资产或者资产组的现金流入为依据。同时，考虑三江发控公司管理生产经营活动的方式和对资产的持续使用或者处置的决策方式等。但认定的资产组不得大于三江发控公司所确定的报告部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3.</w:t>
      </w:r>
      <w:r>
        <w:rPr>
          <w:rFonts w:hint="eastAsia" w:ascii="宋体" w:hAnsi="宋体" w:eastAsia="宋体" w:cs="宋体"/>
          <w:kern w:val="2"/>
          <w:sz w:val="21"/>
          <w:szCs w:val="21"/>
          <w:lang w:val="en-US" w:eastAsia="zh-CN" w:bidi="ar"/>
        </w:rPr>
        <w:t xml:space="preserve"> </w:t>
      </w:r>
      <w:r>
        <w:rPr>
          <w:rFonts w:hint="eastAsia" w:ascii="宋体" w:hAnsi="宋体" w:eastAsia="宋体" w:cs="宋体"/>
          <w:kern w:val="2"/>
          <w:sz w:val="24"/>
          <w:szCs w:val="24"/>
          <w:lang w:val="en-US" w:eastAsia="zh-CN" w:bidi="ar"/>
        </w:rPr>
        <w:t>三江发控公司进行资产减值测试时，对于因企业合并形成的商誉的账面价值，自购买日起分摊至相关的资产组；难以分摊至相关的资产组的，将其分摊至相关的资产组组合。资产组或者资产组组合的可收回金额低于其账面价值的，账面价值包括商誉的分摊额的，减值损失金额先抵减分摊至资产组或者资产组组合中商誉的账面价值，再根据资产组或者资产组组合中除商誉之外的其他各项资产的账面价值所占比重，按比例抵减其他各项资产的账面价值。</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十六</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长期待摊费用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三江发控公司的长期待摊费用是指已经发生，但应由本期和以后各期负担的分摊期在一年以上的各项费用，主要包括租入固定资产的改良支出。</w:t>
      </w:r>
      <w:r>
        <w:rPr>
          <w:rFonts w:hint="eastAsia" w:ascii="宋体" w:hAnsi="宋体" w:eastAsia="宋体" w:cs="宋体"/>
          <w:kern w:val="0"/>
          <w:sz w:val="24"/>
          <w:szCs w:val="24"/>
          <w:lang w:val="en-US" w:eastAsia="zh-CN" w:bidi="ar"/>
        </w:rPr>
        <w:t>长期待摊费用按实际支出入账，在项目受益期内按直线法进行摊销。</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十七</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借款费用</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firstLineChars="25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借款费用资本化的确认原则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借款费用包括借款利息、折价或者溢价的摊销、辅助费用以及因外币借款而发生的汇兑差额等。公司发生的借款费用，可直接归属于符合资本化条件的资产的购建或者生产的，予以资本化，计入相关资产成本；其他借款费用，在发生时根据其发生额确认为费用，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借款费用同时满足下列条件的，才能开始资本化：</w:t>
      </w: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资产支出已经发生，资产支出包括为购建或者生产符合资本化条件的资产而以支付现金、转移非现金资产或者承担带息债务形式发生的支出；</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借款费用已经发生</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为使资产达到预定可使用或者可销售状态所必要的购建或者生产活动已经开始。</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借款费用资本化期间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为购建或者生产符合资本化条件的资产而发生的借款费用，在该资产达到预定可使用或者可销售状态前计入该资产的成本；在该资产达到预定可使用或者可销售状态后发生的借款费用计入当期损益。符合资本化条件的资产在购建或者生产过程中发生非正常中断、且中断时间连续超过</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个月的，暂停借款费用的资本化。借款费用暂停资本化的期间不包括在内。</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借款费用资本化金额的计算方法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在资本化期间内，每一会计期间的利息（包括折价或溢价的摊销）资本化金额，按照下列规定确定：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为购建或者生产符合资本化条件的资产而借入专门借款的，以专门借款当期实际发生的利息费用，减去将尚未动用的借款资金存入银行取得的利息收入或进行暂时性投资取得的投资收益后的金额确定。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为购建或者生产符合资本化条件的资产而占用了一般借款的，本公司根据累计资产支出超过专门借款部分的资产支出加权平均数乘以所占用一般借款的资本化率，计算确定一般借款应予资本化的利息金额。资本化率根据一般借款加权平均利率计算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十八</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预计负债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预计负债的确认原则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与对外担保、未决诉讼或仲裁、产品质量保证、裁员计划、亏损合同、重组义务、固定资产弃置义务等或有事项相关的业务同时符合以下条件时，确认为负债：</w:t>
      </w: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该义务是本公司承担的现时义务；</w:t>
      </w:r>
      <w:r>
        <w:rPr>
          <w:rFonts w:hint="default" w:ascii="Times New Roman" w:hAnsi="Times New Roman" w:cs="Times New Roman" w:eastAsiaTheme="minorEastAsia"/>
          <w:kern w:val="0"/>
          <w:sz w:val="24"/>
          <w:szCs w:val="24"/>
          <w:lang w:val="en-US" w:eastAsia="zh-CN" w:bidi="ar"/>
        </w:rPr>
        <w:t xml:space="preserve">(2) </w:t>
      </w:r>
      <w:r>
        <w:rPr>
          <w:rFonts w:hint="eastAsia" w:ascii="宋体" w:hAnsi="宋体" w:eastAsia="宋体" w:cs="宋体"/>
          <w:kern w:val="0"/>
          <w:sz w:val="24"/>
          <w:szCs w:val="24"/>
          <w:lang w:val="en-US" w:eastAsia="zh-CN" w:bidi="ar"/>
        </w:rPr>
        <w:t>该义务的履行很可能导致经济利益流出企业；</w:t>
      </w:r>
      <w:r>
        <w:rPr>
          <w:rFonts w:hint="default" w:ascii="Times New Roman" w:hAnsi="Times New Roman" w:cs="Times New Roman" w:eastAsiaTheme="minorEastAsia"/>
          <w:kern w:val="0"/>
          <w:sz w:val="24"/>
          <w:szCs w:val="24"/>
          <w:lang w:val="en-US" w:eastAsia="zh-CN" w:bidi="ar"/>
        </w:rPr>
        <w:t xml:space="preserve">(3) </w:t>
      </w:r>
      <w:r>
        <w:rPr>
          <w:rFonts w:hint="eastAsia" w:ascii="宋体" w:hAnsi="宋体" w:eastAsia="宋体" w:cs="宋体"/>
          <w:kern w:val="0"/>
          <w:sz w:val="24"/>
          <w:szCs w:val="24"/>
          <w:lang w:val="en-US" w:eastAsia="zh-CN" w:bidi="ar"/>
        </w:rPr>
        <w:t>该义务的金额能够可靠地计量。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预计负债的计量方法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预计负债按照履行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十九</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收入确认原则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销售商品收入的确认方法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销售商品收入同时满足下列条件时，才能予以确认：</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公司已将商品所有权上的主要风险和报酬转移给购货方；</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公司既没有保留通常与所有权相联系的继续管理权，也没有对已售出的商品实施有效控制；</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收入的金额能够可靠计量；</w:t>
      </w: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相关经济利益很可能流入公司；</w:t>
      </w: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相关的已发生的或将发生的成本能够可靠计量。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提供劳务收入的确认方法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三江发控公司在资产负债表日提供劳务交易的结果能够可靠估计的，按照完工百分比法确认提供劳务收入。三江发控公司按照已经提供的劳务占应提供的劳务总量的比例确定提供劳务交易的完工进度。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三江发控公司在资产负债表日提供劳务交易结果不能够可靠估计的，分别下列情况处理：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已发生的劳务成本预计能够得到补偿，应按已经发生的劳务成本金额确认提供劳务收入，并按相同金额结转劳务成本；</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已发生的劳务成本预计不能够得到补偿的，将已经发生的劳务成本计入当期损益，不确认提供劳务收入。</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让渡资产使用权收入的确认方法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让渡资产使用权收入的确认原则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让渡资产使用权收入包括利息收入、使用费收入等，在同时满足以下条件时，才能予以确认：①与交易相关的经济利益能够流入公司；②收入的金额能够可靠地计量。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具体确认方法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①利息收入金额，按照他人使用公司货币资金的时间和实际利率计算确定。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②使用费收入金额，按照有关合同或协议约定的收费时间和方法计算确定。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二十</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政府补助的核算方法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政府补助，指从政府无偿取得的除投入资本外的货币性资产或非货币性资产，分为与资产相关的政府补助和与收益相关的政府补助。政府补助同时满足下列条件时予以确认：</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能够满足政府补助所附条件；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 xml:space="preserve">(2) </w:t>
      </w:r>
      <w:r>
        <w:rPr>
          <w:rFonts w:hint="eastAsia" w:ascii="宋体" w:hAnsi="宋体" w:eastAsia="宋体" w:cs="宋体"/>
          <w:kern w:val="0"/>
          <w:sz w:val="24"/>
          <w:szCs w:val="24"/>
          <w:lang w:val="en-US" w:eastAsia="zh-CN" w:bidi="ar"/>
        </w:rPr>
        <w:t>能够收到政府补助。</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与资产相关的政府补助，确认为递延收益，并在相关资产使用寿命内平均分配，计入当期损益。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与收益相关的政府补助，用于补偿公司以后期间的相关费用或损失的，确认为递延收益，并在确认相关费用的期间，计入当期损益。用于补偿公司已发生的相关费用或损失的，直接计入当期损益。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default" w:ascii="Times New Roman" w:hAnsi="宋体"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二十一</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递延所得税资产和递延所得税负债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本公司递延所得税资产和递延所得税负债的确认：</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根据资产、负债的账面价值与其计税基础之间的差额（未作为资产和负债确认的项目按照税法规定可以确定其计税基础的，确定该计税基础为其差额），按照预期收回该资产或清偿该负债期间的适用税率计算确认递延所得税资产或递延所得税负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递延所得税资产的确认以很可能取得用来抵扣可抵扣暂时性差异的应纳税所得额为限。资产负债表日，有确凿证据表明未来期间很可能获得足够的应纳税所得额用来抵扣可抵扣暂时性差异的，确认以前会计期间未确认的递延所得税资产。如未来期间很可能无法获得足够的应纳税所得额用以抵扣递延所得税资产的，则减记递延所得税资产的账面价值。</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对与子公司及联营企业投资相关的应纳税暂时性差异，确认递延所得税负债，除非本公司能够控制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pPr>
        <w:keepNext w:val="0"/>
        <w:keepLines w:val="0"/>
        <w:widowControl w:val="0"/>
        <w:suppressLineNumbers w:val="0"/>
        <w:autoSpaceDE w:val="0"/>
        <w:autoSpaceDN w:val="0"/>
        <w:adjustRightInd w:val="0"/>
        <w:spacing w:before="0" w:beforeAutospacing="0" w:after="0" w:afterAutospacing="0" w:line="360" w:lineRule="auto"/>
        <w:ind w:left="0" w:right="0" w:firstLine="482" w:firstLineChars="200"/>
        <w:jc w:val="left"/>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五、会计政策和会计估计变更以及差错更正的说明</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（一）会计政策变更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本报告期内无重要会计政策变更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（二）会计估计变更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本报告期内无重要会计估计变更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（三）重要前期差错更正</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本期无重大会计差错更正。</w:t>
      </w:r>
    </w:p>
    <w:p>
      <w:pPr>
        <w:keepNext w:val="0"/>
        <w:keepLines w:val="0"/>
        <w:widowControl w:val="0"/>
        <w:suppressLineNumbers w:val="0"/>
        <w:autoSpaceDE w:val="0"/>
        <w:autoSpaceDN w:val="0"/>
        <w:adjustRightInd w:val="0"/>
        <w:spacing w:before="0" w:beforeAutospacing="0" w:after="0" w:afterAutospacing="0" w:line="360" w:lineRule="auto"/>
        <w:ind w:left="0" w:right="0" w:firstLine="482" w:firstLineChars="200"/>
        <w:jc w:val="left"/>
        <w:rPr>
          <w:rFonts w:hint="eastAsia" w:ascii="宋体" w:hAnsi="宋体" w:eastAsia="宋体" w:cs="宋体"/>
          <w:kern w:val="0"/>
          <w:sz w:val="24"/>
          <w:szCs w:val="24"/>
        </w:rPr>
      </w:pPr>
      <w:r>
        <w:rPr>
          <w:rFonts w:hint="eastAsia" w:ascii="宋体" w:hAnsi="宋体" w:eastAsia="宋体" w:cs="宋体"/>
          <w:b/>
          <w:bCs/>
          <w:kern w:val="2"/>
          <w:sz w:val="24"/>
          <w:szCs w:val="24"/>
          <w:lang w:val="en-US" w:eastAsia="zh-CN" w:bidi="ar"/>
        </w:rPr>
        <w:t>六、税项</w:t>
      </w:r>
    </w:p>
    <w:tbl>
      <w:tblPr>
        <w:tblStyle w:val="5"/>
        <w:tblW w:w="9055" w:type="dxa"/>
        <w:jc w:val="center"/>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2133"/>
        <w:gridCol w:w="5610"/>
        <w:gridCol w:w="1312"/>
      </w:tblGrid>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414" w:hRule="atLeast"/>
          <w:jc w:val="center"/>
        </w:trPr>
        <w:tc>
          <w:tcPr>
            <w:tcW w:w="2133" w:type="dxa"/>
            <w:tcBorders>
              <w:top w:val="single" w:color="auto" w:sz="12" w:space="0"/>
              <w:left w:val="nil"/>
              <w:bottom w:val="dotted" w:color="auto" w:sz="4" w:space="0"/>
              <w:right w:val="dotted" w:color="auto" w:sz="4" w:space="0"/>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税种</w:t>
            </w:r>
          </w:p>
        </w:tc>
        <w:tc>
          <w:tcPr>
            <w:tcW w:w="5610" w:type="dxa"/>
            <w:tcBorders>
              <w:top w:val="single" w:color="auto" w:sz="12" w:space="0"/>
              <w:left w:val="dotted" w:color="auto" w:sz="4" w:space="0"/>
              <w:bottom w:val="dotted" w:color="auto" w:sz="4" w:space="0"/>
              <w:right w:val="dotted" w:color="auto" w:sz="4" w:space="0"/>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计税依据</w:t>
            </w:r>
          </w:p>
        </w:tc>
        <w:tc>
          <w:tcPr>
            <w:tcW w:w="1312" w:type="dxa"/>
            <w:tcBorders>
              <w:top w:val="single" w:color="auto" w:sz="12" w:space="0"/>
              <w:left w:val="dotted" w:color="auto" w:sz="4" w:space="0"/>
              <w:bottom w:val="dotted" w:color="auto" w:sz="4" w:space="0"/>
              <w:right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税率</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871"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增值税</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公司为一般纳税人，应交增值税为销项税额减可抵扣进项税额后的余额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color w:val="FF0000"/>
                <w:kern w:val="0"/>
                <w:sz w:val="24"/>
                <w:szCs w:val="24"/>
                <w:lang w:val="en-US"/>
              </w:rPr>
            </w:pPr>
            <w:r>
              <w:rPr>
                <w:rFonts w:hint="default" w:ascii="宋体" w:hAnsi="宋体" w:eastAsia="宋体" w:cs="宋体"/>
                <w:kern w:val="0"/>
                <w:sz w:val="24"/>
                <w:szCs w:val="24"/>
                <w:lang w:val="en-US" w:eastAsia="zh-CN" w:bidi="ar"/>
              </w:rPr>
              <w:t>6%</w:t>
            </w:r>
            <w:r>
              <w:rPr>
                <w:rFonts w:hint="eastAsia" w:ascii="宋体" w:hAnsi="宋体" w:eastAsia="宋体" w:cs="宋体"/>
                <w:kern w:val="0"/>
                <w:sz w:val="24"/>
                <w:szCs w:val="24"/>
                <w:lang w:val="en-US" w:eastAsia="zh-CN" w:bidi="ar"/>
              </w:rPr>
              <w:t>、9%</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城市维护建设税</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缴纳流转税税额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eastAsia" w:ascii="宋体" w:hAnsi="宋体" w:eastAsia="宋体" w:cs="宋体"/>
                <w:color w:val="auto"/>
                <w:kern w:val="0"/>
                <w:sz w:val="24"/>
                <w:szCs w:val="24"/>
                <w:lang w:val="en-US" w:eastAsia="zh-CN" w:bidi="ar"/>
              </w:rPr>
              <w:t>7</w:t>
            </w:r>
            <w:r>
              <w:rPr>
                <w:rFonts w:hint="default" w:ascii="宋体" w:hAnsi="宋体" w:eastAsia="宋体" w:cs="宋体"/>
                <w:color w:val="auto"/>
                <w:kern w:val="0"/>
                <w:sz w:val="24"/>
                <w:szCs w:val="24"/>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企业所得税</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应纳税所得额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25%</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教育费附加</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缴纳流转税税额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地方教育费附加</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缴纳流转税税额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single" w:color="auto" w:sz="12"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个人所得税</w:t>
            </w:r>
          </w:p>
        </w:tc>
        <w:tc>
          <w:tcPr>
            <w:tcW w:w="5610" w:type="dxa"/>
            <w:tcBorders>
              <w:top w:val="dotted" w:color="auto" w:sz="4" w:space="0"/>
              <w:left w:val="dotted" w:color="auto" w:sz="4" w:space="0"/>
              <w:bottom w:val="single" w:color="auto" w:sz="12"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应纳税所得</w:t>
            </w:r>
          </w:p>
        </w:tc>
        <w:tc>
          <w:tcPr>
            <w:tcW w:w="1312" w:type="dxa"/>
            <w:tcBorders>
              <w:top w:val="dotted" w:color="auto" w:sz="4" w:space="0"/>
              <w:left w:val="dotted" w:color="auto" w:sz="4" w:space="0"/>
              <w:bottom w:val="single" w:color="auto" w:sz="12"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七级累进</w:t>
            </w:r>
          </w:p>
        </w:tc>
      </w:tr>
    </w:tbl>
    <w:p>
      <w:pPr>
        <w:keepNext w:val="0"/>
        <w:keepLines w:val="0"/>
        <w:widowControl w:val="0"/>
        <w:suppressLineNumbers w:val="0"/>
        <w:spacing w:before="156" w:beforeLines="50" w:beforeAutospacing="0" w:after="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七、企业合并及合并财务报表</w:t>
      </w:r>
    </w:p>
    <w:p>
      <w:pPr>
        <w:keepNext w:val="0"/>
        <w:keepLines w:val="0"/>
        <w:widowControl w:val="0"/>
        <w:suppressLineNumbers w:val="0"/>
        <w:snapToGrid w:val="0"/>
        <w:spacing w:before="0" w:beforeAutospacing="0" w:after="0" w:afterAutospacing="0" w:line="400" w:lineRule="exact"/>
        <w:ind w:left="0" w:right="0" w:firstLine="422" w:firstLineChars="200"/>
        <w:jc w:val="both"/>
        <w:outlineLvl w:val="1"/>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（一）子企业情况</w:t>
      </w:r>
    </w:p>
    <w:tbl>
      <w:tblPr>
        <w:tblStyle w:val="5"/>
        <w:tblW w:w="9273"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299"/>
        <w:gridCol w:w="929"/>
        <w:gridCol w:w="708"/>
        <w:gridCol w:w="851"/>
        <w:gridCol w:w="831"/>
        <w:gridCol w:w="1125"/>
        <w:gridCol w:w="1050"/>
        <w:gridCol w:w="963"/>
        <w:gridCol w:w="992"/>
        <w:gridCol w:w="525"/>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634" w:hRule="atLeast"/>
          <w:jc w:val="center"/>
        </w:trPr>
        <w:tc>
          <w:tcPr>
            <w:tcW w:w="1299" w:type="dxa"/>
            <w:tcBorders>
              <w:top w:val="single" w:color="auto" w:sz="8"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企业名称</w:t>
            </w:r>
          </w:p>
        </w:tc>
        <w:tc>
          <w:tcPr>
            <w:tcW w:w="929"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企业类型</w:t>
            </w:r>
          </w:p>
        </w:tc>
        <w:tc>
          <w:tcPr>
            <w:tcW w:w="708"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注册地</w:t>
            </w:r>
          </w:p>
        </w:tc>
        <w:tc>
          <w:tcPr>
            <w:tcW w:w="851"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主要经营地</w:t>
            </w:r>
          </w:p>
        </w:tc>
        <w:tc>
          <w:tcPr>
            <w:tcW w:w="831"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业务性质</w:t>
            </w:r>
          </w:p>
        </w:tc>
        <w:tc>
          <w:tcPr>
            <w:tcW w:w="1125"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注册资本(万元)</w:t>
            </w:r>
          </w:p>
        </w:tc>
        <w:tc>
          <w:tcPr>
            <w:tcW w:w="1050"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持股比例(%)</w:t>
            </w:r>
          </w:p>
        </w:tc>
        <w:tc>
          <w:tcPr>
            <w:tcW w:w="963"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享有的表决权(%)</w:t>
            </w:r>
          </w:p>
        </w:tc>
        <w:tc>
          <w:tcPr>
            <w:tcW w:w="992"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投资额（万元）</w:t>
            </w:r>
          </w:p>
        </w:tc>
        <w:tc>
          <w:tcPr>
            <w:tcW w:w="525" w:type="dxa"/>
            <w:tcBorders>
              <w:top w:val="single" w:color="auto" w:sz="8"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取得方式</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299"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海口三江农场物业服务有限公司</w:t>
            </w:r>
          </w:p>
        </w:tc>
        <w:tc>
          <w:tcPr>
            <w:tcW w:w="929"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有限责任公司</w:t>
            </w:r>
          </w:p>
        </w:tc>
        <w:tc>
          <w:tcPr>
            <w:tcW w:w="708"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51"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31"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物业服务</w:t>
            </w:r>
          </w:p>
        </w:tc>
        <w:tc>
          <w:tcPr>
            <w:tcW w:w="1125"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200.00</w:t>
            </w:r>
          </w:p>
        </w:tc>
        <w:tc>
          <w:tcPr>
            <w:tcW w:w="105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63"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92"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200.00</w:t>
            </w:r>
          </w:p>
        </w:tc>
        <w:tc>
          <w:tcPr>
            <w:tcW w:w="525"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设立</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299" w:type="dxa"/>
            <w:tcBorders>
              <w:top w:val="dotted" w:color="auto" w:sz="4" w:space="0"/>
              <w:left w:val="nil"/>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海口福满三江农业开发有限公司</w:t>
            </w:r>
          </w:p>
        </w:tc>
        <w:tc>
          <w:tcPr>
            <w:tcW w:w="929"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有限责任公司</w:t>
            </w:r>
          </w:p>
        </w:tc>
        <w:tc>
          <w:tcPr>
            <w:tcW w:w="708"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51"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31"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农业开发</w:t>
            </w:r>
          </w:p>
        </w:tc>
        <w:tc>
          <w:tcPr>
            <w:tcW w:w="1125"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1,000.00</w:t>
            </w:r>
          </w:p>
        </w:tc>
        <w:tc>
          <w:tcPr>
            <w:tcW w:w="1050"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63"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92"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600.00</w:t>
            </w:r>
          </w:p>
        </w:tc>
        <w:tc>
          <w:tcPr>
            <w:tcW w:w="525" w:type="dxa"/>
            <w:tcBorders>
              <w:top w:val="dotted" w:color="auto" w:sz="4" w:space="0"/>
              <w:left w:val="dotted" w:color="auto" w:sz="4"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设立</w:t>
            </w:r>
          </w:p>
        </w:tc>
      </w:tr>
    </w:tbl>
    <w:p>
      <w:pPr>
        <w:keepNext w:val="0"/>
        <w:keepLines w:val="0"/>
        <w:widowControl w:val="0"/>
        <w:suppressLineNumbers w:val="0"/>
        <w:spacing w:before="156" w:beforeLines="50" w:beforeAutospacing="0" w:after="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八、合并报表重要项目的说明</w:t>
      </w:r>
    </w:p>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一</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货币资金</w:t>
      </w:r>
    </w:p>
    <w:tbl>
      <w:tblPr>
        <w:tblStyle w:val="5"/>
        <w:tblW w:w="8364" w:type="dxa"/>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8"/>
        <w:gridCol w:w="2788"/>
        <w:gridCol w:w="278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single" w:color="auto" w:sz="12"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w:t>
            </w:r>
          </w:p>
        </w:tc>
        <w:tc>
          <w:tcPr>
            <w:tcW w:w="2788" w:type="dxa"/>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c>
          <w:tcPr>
            <w:tcW w:w="2788" w:type="dxa"/>
            <w:tcBorders>
              <w:top w:val="single" w:color="auto" w:sz="12" w:space="0"/>
              <w:left w:val="single" w:color="auto" w:sz="4" w:space="0"/>
              <w:bottom w:val="dotted" w:color="auto" w:sz="4" w:space="0"/>
              <w:right w:val="nil"/>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库存现金</w:t>
            </w:r>
          </w:p>
        </w:tc>
        <w:tc>
          <w:tcPr>
            <w:tcW w:w="2788"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kern w:val="2"/>
                <w:sz w:val="22"/>
                <w:szCs w:val="22"/>
                <w:lang w:val="en-US" w:eastAsia="zh-CN" w:bidi="ar"/>
              </w:rPr>
            </w:pPr>
            <w:r>
              <w:rPr>
                <w:rFonts w:hint="eastAsia" w:ascii="宋体" w:hAnsi="宋体" w:eastAsia="宋体" w:cs="宋体"/>
                <w:kern w:val="2"/>
                <w:sz w:val="22"/>
                <w:szCs w:val="22"/>
                <w:lang w:val="en-US" w:eastAsia="zh-CN" w:bidi="ar"/>
              </w:rPr>
              <w:t>3,862.90</w:t>
            </w:r>
          </w:p>
        </w:tc>
        <w:tc>
          <w:tcPr>
            <w:tcW w:w="2788"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4,935.39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银行存款</w:t>
            </w:r>
          </w:p>
        </w:tc>
        <w:tc>
          <w:tcPr>
            <w:tcW w:w="2788"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kern w:val="2"/>
                <w:sz w:val="22"/>
                <w:szCs w:val="22"/>
                <w:lang w:val="en-US" w:eastAsia="zh-CN" w:bidi="ar"/>
              </w:rPr>
            </w:pPr>
            <w:r>
              <w:rPr>
                <w:rFonts w:hint="eastAsia" w:ascii="宋体" w:hAnsi="宋体" w:eastAsia="宋体" w:cs="宋体"/>
                <w:kern w:val="2"/>
                <w:sz w:val="22"/>
                <w:szCs w:val="22"/>
                <w:lang w:val="en-US" w:eastAsia="zh-CN" w:bidi="ar"/>
              </w:rPr>
              <w:t>50,390,085.86</w:t>
            </w:r>
          </w:p>
        </w:tc>
        <w:tc>
          <w:tcPr>
            <w:tcW w:w="2788"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51,334,595.99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left"/>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其他货币资金</w:t>
            </w:r>
          </w:p>
        </w:tc>
        <w:tc>
          <w:tcPr>
            <w:tcW w:w="2788"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kern w:val="2"/>
                <w:sz w:val="22"/>
                <w:szCs w:val="22"/>
                <w:lang w:val="en-US" w:eastAsia="zh-CN" w:bidi="ar"/>
              </w:rPr>
            </w:pPr>
            <w:r>
              <w:rPr>
                <w:rFonts w:hint="eastAsia" w:ascii="宋体" w:hAnsi="宋体" w:eastAsia="宋体" w:cs="宋体"/>
                <w:kern w:val="2"/>
                <w:sz w:val="22"/>
                <w:szCs w:val="22"/>
                <w:lang w:val="en-US" w:eastAsia="zh-CN" w:bidi="ar"/>
              </w:rPr>
              <w:t>10,107.00</w:t>
            </w:r>
          </w:p>
        </w:tc>
        <w:tc>
          <w:tcPr>
            <w:tcW w:w="2788"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default" w:ascii="宋体" w:hAnsi="宋体" w:eastAsia="宋体" w:cs="宋体"/>
                <w:kern w:val="2"/>
                <w:sz w:val="22"/>
                <w:szCs w:val="22"/>
                <w:lang w:val="en-US" w:eastAsia="zh-CN" w:bidi="ar"/>
              </w:rPr>
            </w:pPr>
            <w:r>
              <w:rPr>
                <w:rFonts w:hint="eastAsia" w:ascii="宋体" w:hAnsi="宋体" w:eastAsia="宋体" w:cs="宋体"/>
                <w:kern w:val="2"/>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kern w:val="2"/>
                <w:sz w:val="21"/>
                <w:szCs w:val="21"/>
              </w:rPr>
            </w:pPr>
            <w:r>
              <w:rPr>
                <w:rFonts w:hint="eastAsia" w:ascii="宋体" w:hAnsi="宋体" w:eastAsia="宋体" w:cs="宋体"/>
                <w:b/>
                <w:bCs/>
                <w:color w:val="000000"/>
                <w:kern w:val="2"/>
                <w:sz w:val="21"/>
                <w:szCs w:val="21"/>
                <w:lang w:val="en-US" w:eastAsia="zh-CN" w:bidi="ar"/>
              </w:rPr>
              <w:t>合计</w:t>
            </w:r>
          </w:p>
        </w:tc>
        <w:tc>
          <w:tcPr>
            <w:tcW w:w="2788"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kern w:val="2"/>
                <w:sz w:val="22"/>
                <w:szCs w:val="22"/>
                <w:lang w:val="en-US" w:eastAsia="zh-CN" w:bidi="ar"/>
              </w:rPr>
            </w:pPr>
            <w:r>
              <w:rPr>
                <w:rFonts w:hint="eastAsia" w:ascii="宋体" w:hAnsi="宋体" w:eastAsia="宋体" w:cs="宋体"/>
                <w:b/>
                <w:bCs/>
                <w:kern w:val="2"/>
                <w:sz w:val="22"/>
                <w:szCs w:val="22"/>
                <w:lang w:val="en-US" w:eastAsia="zh-CN" w:bidi="ar"/>
              </w:rPr>
              <w:t>50,404,055.76</w:t>
            </w:r>
          </w:p>
        </w:tc>
        <w:tc>
          <w:tcPr>
            <w:tcW w:w="2788"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leftChars="0" w:right="105" w:rightChars="0"/>
              <w:jc w:val="center"/>
              <w:rPr>
                <w:rFonts w:hint="eastAsia" w:ascii="宋体" w:hAnsi="宋体" w:eastAsia="宋体" w:cs="宋体"/>
                <w:b/>
                <w:bCs/>
                <w:kern w:val="2"/>
                <w:sz w:val="22"/>
                <w:szCs w:val="22"/>
              </w:rPr>
            </w:pPr>
            <w:r>
              <w:rPr>
                <w:rFonts w:hint="eastAsia" w:ascii="宋体" w:hAnsi="宋体" w:eastAsia="宋体" w:cs="宋体"/>
                <w:b/>
                <w:bCs/>
                <w:kern w:val="2"/>
                <w:sz w:val="22"/>
                <w:szCs w:val="22"/>
                <w:lang w:val="en-US" w:eastAsia="zh-CN" w:bidi="ar"/>
              </w:rPr>
              <w:t>51,339,531.38</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应收账款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应收账款账龄分析</w:t>
      </w:r>
    </w:p>
    <w:tbl>
      <w:tblPr>
        <w:tblStyle w:val="5"/>
        <w:tblW w:w="0" w:type="auto"/>
        <w:tblInd w:w="108" w:type="dxa"/>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476"/>
        <w:gridCol w:w="1910"/>
        <w:gridCol w:w="34"/>
        <w:gridCol w:w="1440"/>
        <w:gridCol w:w="1620"/>
        <w:gridCol w:w="1800"/>
      </w:tblGrid>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283" w:hRule="atLeast"/>
        </w:trPr>
        <w:tc>
          <w:tcPr>
            <w:tcW w:w="1476" w:type="dxa"/>
            <w:vMerge w:val="restart"/>
            <w:tcBorders>
              <w:top w:val="single" w:color="000000" w:sz="12" w:space="0"/>
              <w:left w:val="nil"/>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账龄</w:t>
            </w:r>
          </w:p>
        </w:tc>
        <w:tc>
          <w:tcPr>
            <w:tcW w:w="6804" w:type="dxa"/>
            <w:gridSpan w:val="5"/>
            <w:tcBorders>
              <w:top w:val="single" w:color="000000" w:sz="12"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期末余额</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283" w:hRule="atLeast"/>
        </w:trPr>
        <w:tc>
          <w:tcPr>
            <w:tcW w:w="1476" w:type="dxa"/>
            <w:vMerge w:val="continue"/>
            <w:tcBorders>
              <w:top w:val="single" w:color="000000" w:sz="12" w:space="0"/>
              <w:left w:val="nil"/>
              <w:bottom w:val="dotted" w:color="auto" w:sz="4" w:space="0"/>
              <w:right w:val="dotted"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4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账面余额</w:t>
            </w:r>
          </w:p>
        </w:tc>
        <w:tc>
          <w:tcPr>
            <w:tcW w:w="144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比例</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坏账准备</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账面净值</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1年以内</w:t>
            </w:r>
          </w:p>
        </w:tc>
        <w:tc>
          <w:tcPr>
            <w:tcW w:w="194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8,978,228.27</w:t>
            </w:r>
          </w:p>
        </w:tc>
        <w:tc>
          <w:tcPr>
            <w:tcW w:w="144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448,911.41</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8,529,316.86 </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1-2年</w:t>
            </w:r>
          </w:p>
        </w:tc>
        <w:tc>
          <w:tcPr>
            <w:tcW w:w="194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44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single" w:color="000000" w:sz="12"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合计</w:t>
            </w:r>
          </w:p>
        </w:tc>
        <w:tc>
          <w:tcPr>
            <w:tcW w:w="1944" w:type="dxa"/>
            <w:gridSpan w:val="2"/>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8,978,228.27</w:t>
            </w:r>
          </w:p>
        </w:tc>
        <w:tc>
          <w:tcPr>
            <w:tcW w:w="1440" w:type="dxa"/>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w:t>
            </w:r>
          </w:p>
        </w:tc>
        <w:tc>
          <w:tcPr>
            <w:tcW w:w="1620" w:type="dxa"/>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448,911.41</w:t>
            </w:r>
          </w:p>
        </w:tc>
        <w:tc>
          <w:tcPr>
            <w:tcW w:w="1800" w:type="dxa"/>
            <w:tcBorders>
              <w:top w:val="dotted" w:color="auto" w:sz="4" w:space="0"/>
              <w:left w:val="dotted" w:color="auto" w:sz="4" w:space="0"/>
              <w:bottom w:val="single" w:color="000000" w:sz="12" w:space="0"/>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8,529,316.86 </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283" w:hRule="atLeast"/>
        </w:trPr>
        <w:tc>
          <w:tcPr>
            <w:tcW w:w="1476" w:type="dxa"/>
            <w:vMerge w:val="restart"/>
            <w:tcBorders>
              <w:top w:val="nil"/>
              <w:left w:val="nil"/>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账龄</w:t>
            </w:r>
          </w:p>
        </w:tc>
        <w:tc>
          <w:tcPr>
            <w:tcW w:w="6804" w:type="dxa"/>
            <w:gridSpan w:val="5"/>
            <w:tcBorders>
              <w:top w:val="single" w:color="000000" w:sz="12"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年初余额</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283" w:hRule="atLeast"/>
        </w:trPr>
        <w:tc>
          <w:tcPr>
            <w:tcW w:w="1476" w:type="dxa"/>
            <w:vMerge w:val="continue"/>
            <w:tcBorders>
              <w:top w:val="nil"/>
              <w:left w:val="nil"/>
              <w:bottom w:val="dotted" w:color="auto" w:sz="4" w:space="0"/>
              <w:right w:val="dotted"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1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账面余额</w:t>
            </w:r>
          </w:p>
        </w:tc>
        <w:tc>
          <w:tcPr>
            <w:tcW w:w="147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比例</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坏账准备</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账面净值</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1年以内</w:t>
            </w:r>
          </w:p>
        </w:tc>
        <w:tc>
          <w:tcPr>
            <w:tcW w:w="191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kern w:val="2"/>
                <w:sz w:val="22"/>
                <w:szCs w:val="22"/>
              </w:rPr>
            </w:pPr>
            <w:r>
              <w:rPr>
                <w:rFonts w:hint="eastAsia" w:ascii="宋体" w:hAnsi="宋体"/>
                <w:color w:val="000000"/>
                <w:sz w:val="22"/>
                <w:szCs w:val="22"/>
              </w:rPr>
              <w:t>2,919,473.07</w:t>
            </w:r>
          </w:p>
        </w:tc>
        <w:tc>
          <w:tcPr>
            <w:tcW w:w="1474" w:type="dxa"/>
            <w:gridSpan w:val="2"/>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kern w:val="2"/>
                <w:sz w:val="22"/>
                <w:szCs w:val="22"/>
              </w:rPr>
            </w:pPr>
            <w:r>
              <w:rPr>
                <w:rFonts w:hint="eastAsia" w:ascii="宋体" w:hAnsi="宋体"/>
                <w:color w:val="000000"/>
                <w:sz w:val="22"/>
                <w:szCs w:val="22"/>
              </w:rPr>
              <w:t>32.00%</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cs="宋体" w:eastAsiaTheme="minorEastAsia"/>
                <w:kern w:val="2"/>
                <w:sz w:val="22"/>
                <w:szCs w:val="22"/>
                <w:lang w:val="en-US" w:eastAsia="zh-CN"/>
              </w:rPr>
            </w:pPr>
            <w:r>
              <w:rPr>
                <w:rFonts w:hint="eastAsia" w:ascii="宋体" w:hAnsi="宋体"/>
                <w:color w:val="000000"/>
                <w:sz w:val="22"/>
                <w:szCs w:val="22"/>
              </w:rPr>
              <w:t>148,612.3</w:t>
            </w:r>
            <w:r>
              <w:rPr>
                <w:rFonts w:hint="eastAsia" w:ascii="宋体" w:hAnsi="宋体"/>
                <w:color w:val="000000"/>
                <w:sz w:val="22"/>
                <w:szCs w:val="22"/>
                <w:lang w:val="en-US" w:eastAsia="zh-CN"/>
              </w:rPr>
              <w:t>7</w:t>
            </w:r>
          </w:p>
        </w:tc>
        <w:tc>
          <w:tcPr>
            <w:tcW w:w="1800" w:type="dxa"/>
            <w:tcBorders>
              <w:top w:val="dotted" w:color="auto" w:sz="4" w:space="0"/>
              <w:left w:val="dotted" w:color="auto" w:sz="4" w:space="0"/>
              <w:bottom w:val="dotted" w:color="auto" w:sz="4" w:space="0"/>
              <w:right w:val="nil"/>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cs="宋体" w:eastAsiaTheme="minorEastAsia"/>
                <w:kern w:val="2"/>
                <w:sz w:val="22"/>
                <w:szCs w:val="22"/>
                <w:lang w:val="en-US" w:eastAsia="zh-CN"/>
              </w:rPr>
            </w:pPr>
            <w:r>
              <w:rPr>
                <w:rFonts w:hint="eastAsia" w:ascii="宋体" w:hAnsi="宋体"/>
                <w:color w:val="000000"/>
                <w:sz w:val="22"/>
                <w:szCs w:val="22"/>
              </w:rPr>
              <w:t>2,770,860.</w:t>
            </w:r>
            <w:r>
              <w:rPr>
                <w:rFonts w:hint="eastAsia" w:ascii="宋体" w:hAnsi="宋体"/>
                <w:color w:val="000000"/>
                <w:sz w:val="22"/>
                <w:szCs w:val="22"/>
                <w:lang w:val="en-US" w:eastAsia="zh-CN"/>
              </w:rPr>
              <w:t>70</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1-2年</w:t>
            </w:r>
          </w:p>
        </w:tc>
        <w:tc>
          <w:tcPr>
            <w:tcW w:w="191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kern w:val="2"/>
                <w:sz w:val="22"/>
                <w:szCs w:val="22"/>
              </w:rPr>
            </w:pPr>
            <w:r>
              <w:rPr>
                <w:rFonts w:hint="eastAsia" w:ascii="宋体" w:hAnsi="宋体"/>
                <w:color w:val="000000"/>
                <w:sz w:val="22"/>
                <w:szCs w:val="22"/>
              </w:rPr>
              <w:t>6,204,598.41</w:t>
            </w:r>
          </w:p>
        </w:tc>
        <w:tc>
          <w:tcPr>
            <w:tcW w:w="1474" w:type="dxa"/>
            <w:gridSpan w:val="2"/>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kern w:val="2"/>
                <w:sz w:val="22"/>
                <w:szCs w:val="22"/>
              </w:rPr>
            </w:pPr>
            <w:r>
              <w:rPr>
                <w:rFonts w:hint="eastAsia" w:ascii="宋体" w:hAnsi="宋体"/>
                <w:color w:val="000000"/>
                <w:sz w:val="22"/>
                <w:szCs w:val="22"/>
              </w:rPr>
              <w:t>68.00%</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kern w:val="2"/>
                <w:sz w:val="22"/>
                <w:szCs w:val="22"/>
              </w:rPr>
            </w:pPr>
            <w:r>
              <w:rPr>
                <w:rFonts w:hint="eastAsia" w:ascii="宋体" w:hAnsi="宋体"/>
                <w:color w:val="000000"/>
                <w:sz w:val="22"/>
                <w:szCs w:val="22"/>
              </w:rPr>
              <w:t>292,637.76</w:t>
            </w:r>
          </w:p>
        </w:tc>
        <w:tc>
          <w:tcPr>
            <w:tcW w:w="1800" w:type="dxa"/>
            <w:tcBorders>
              <w:top w:val="dotted" w:color="auto" w:sz="4" w:space="0"/>
              <w:left w:val="dotted" w:color="auto" w:sz="4" w:space="0"/>
              <w:bottom w:val="dotted" w:color="auto" w:sz="4" w:space="0"/>
              <w:right w:val="nil"/>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kern w:val="2"/>
                <w:sz w:val="22"/>
                <w:szCs w:val="22"/>
              </w:rPr>
            </w:pPr>
            <w:r>
              <w:rPr>
                <w:rFonts w:hint="eastAsia" w:ascii="宋体" w:hAnsi="宋体"/>
                <w:color w:val="000000"/>
                <w:sz w:val="22"/>
                <w:szCs w:val="22"/>
              </w:rPr>
              <w:t>5,911,960.65</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283" w:hRule="atLeast"/>
        </w:trPr>
        <w:tc>
          <w:tcPr>
            <w:tcW w:w="1476" w:type="dxa"/>
            <w:tcBorders>
              <w:top w:val="dotted" w:color="auto" w:sz="4" w:space="0"/>
              <w:left w:val="nil"/>
              <w:bottom w:val="single" w:color="000000" w:sz="12"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合计</w:t>
            </w:r>
          </w:p>
        </w:tc>
        <w:tc>
          <w:tcPr>
            <w:tcW w:w="1910" w:type="dxa"/>
            <w:tcBorders>
              <w:top w:val="dotted" w:color="auto" w:sz="4" w:space="0"/>
              <w:left w:val="dotted" w:color="auto" w:sz="4" w:space="0"/>
              <w:bottom w:val="single" w:color="000000" w:sz="12"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b/>
                <w:bCs w:val="0"/>
                <w:kern w:val="2"/>
                <w:sz w:val="22"/>
                <w:szCs w:val="22"/>
              </w:rPr>
            </w:pPr>
            <w:r>
              <w:rPr>
                <w:rFonts w:hint="eastAsia" w:ascii="宋体" w:hAnsi="宋体"/>
                <w:b/>
                <w:color w:val="000000"/>
                <w:sz w:val="22"/>
                <w:szCs w:val="22"/>
              </w:rPr>
              <w:t>9,124,071.48</w:t>
            </w:r>
          </w:p>
        </w:tc>
        <w:tc>
          <w:tcPr>
            <w:tcW w:w="1474" w:type="dxa"/>
            <w:gridSpan w:val="2"/>
            <w:tcBorders>
              <w:top w:val="dotted" w:color="auto" w:sz="4" w:space="0"/>
              <w:left w:val="dotted" w:color="auto" w:sz="4" w:space="0"/>
              <w:bottom w:val="single" w:color="000000" w:sz="12"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b/>
                <w:bCs w:val="0"/>
                <w:kern w:val="2"/>
                <w:sz w:val="22"/>
                <w:szCs w:val="22"/>
              </w:rPr>
            </w:pPr>
            <w:r>
              <w:rPr>
                <w:rFonts w:hint="eastAsia" w:ascii="宋体" w:hAnsi="宋体"/>
                <w:b/>
                <w:color w:val="000000"/>
                <w:sz w:val="22"/>
                <w:szCs w:val="22"/>
              </w:rPr>
              <w:t>100.00%</w:t>
            </w:r>
          </w:p>
        </w:tc>
        <w:tc>
          <w:tcPr>
            <w:tcW w:w="1620" w:type="dxa"/>
            <w:tcBorders>
              <w:top w:val="dotted" w:color="auto" w:sz="4" w:space="0"/>
              <w:left w:val="dotted" w:color="auto" w:sz="4" w:space="0"/>
              <w:bottom w:val="single" w:color="000000" w:sz="12"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cs="宋体" w:eastAsiaTheme="minorEastAsia"/>
                <w:b/>
                <w:bCs w:val="0"/>
                <w:kern w:val="2"/>
                <w:sz w:val="22"/>
                <w:szCs w:val="22"/>
                <w:lang w:val="en-US" w:eastAsia="zh-CN"/>
              </w:rPr>
            </w:pPr>
            <w:r>
              <w:rPr>
                <w:rFonts w:hint="eastAsia" w:ascii="宋体" w:hAnsi="宋体"/>
                <w:b/>
                <w:color w:val="000000"/>
                <w:sz w:val="22"/>
                <w:szCs w:val="22"/>
              </w:rPr>
              <w:t>441,250.1</w:t>
            </w:r>
            <w:r>
              <w:rPr>
                <w:rFonts w:hint="eastAsia" w:ascii="宋体" w:hAnsi="宋体"/>
                <w:b/>
                <w:color w:val="000000"/>
                <w:sz w:val="22"/>
                <w:szCs w:val="22"/>
                <w:lang w:val="en-US" w:eastAsia="zh-CN"/>
              </w:rPr>
              <w:t>3</w:t>
            </w:r>
          </w:p>
        </w:tc>
        <w:tc>
          <w:tcPr>
            <w:tcW w:w="1800" w:type="dxa"/>
            <w:tcBorders>
              <w:top w:val="dotted" w:color="auto" w:sz="4" w:space="0"/>
              <w:left w:val="dotted" w:color="auto" w:sz="4" w:space="0"/>
              <w:bottom w:val="single" w:color="000000" w:sz="12" w:space="0"/>
              <w:right w:val="nil"/>
            </w:tcBorders>
            <w:shd w:val="clear" w:color="auto" w:fill="auto"/>
            <w:vAlign w:val="top"/>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cs="宋体" w:eastAsiaTheme="minorEastAsia"/>
                <w:b/>
                <w:bCs w:val="0"/>
                <w:kern w:val="2"/>
                <w:sz w:val="22"/>
                <w:szCs w:val="22"/>
                <w:lang w:val="en-US" w:eastAsia="zh-CN"/>
              </w:rPr>
            </w:pPr>
            <w:r>
              <w:rPr>
                <w:rFonts w:hint="eastAsia" w:ascii="宋体" w:hAnsi="宋体"/>
                <w:b/>
                <w:color w:val="000000"/>
                <w:sz w:val="22"/>
                <w:szCs w:val="22"/>
              </w:rPr>
              <w:t>8,682,821.3</w:t>
            </w:r>
            <w:r>
              <w:rPr>
                <w:rFonts w:hint="eastAsia" w:ascii="宋体" w:hAnsi="宋体"/>
                <w:b/>
                <w:color w:val="000000"/>
                <w:sz w:val="22"/>
                <w:szCs w:val="22"/>
                <w:lang w:val="en-US" w:eastAsia="zh-CN"/>
              </w:rPr>
              <w:t>5</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应收账款债务人明细如下：</w:t>
      </w:r>
    </w:p>
    <w:tbl>
      <w:tblPr>
        <w:tblStyle w:val="5"/>
        <w:tblW w:w="8297" w:type="dxa"/>
        <w:tblInd w:w="108" w:type="dxa"/>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Layout w:type="fixed"/>
        <w:tblCellMar>
          <w:top w:w="0" w:type="dxa"/>
          <w:left w:w="0" w:type="dxa"/>
          <w:bottom w:w="0" w:type="dxa"/>
          <w:right w:w="0" w:type="dxa"/>
        </w:tblCellMar>
      </w:tblPr>
      <w:tblGrid>
        <w:gridCol w:w="3686"/>
        <w:gridCol w:w="2305"/>
        <w:gridCol w:w="2306"/>
      </w:tblGrid>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single" w:color="auto" w:sz="12"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单位名称</w:t>
            </w:r>
          </w:p>
        </w:tc>
        <w:tc>
          <w:tcPr>
            <w:tcW w:w="2305" w:type="dxa"/>
            <w:tcBorders>
              <w:top w:val="single" w:color="auto" w:sz="12" w:space="0"/>
              <w:left w:val="dotted" w:color="auto" w:sz="4" w:space="0"/>
              <w:bottom w:val="dotted" w:color="auto" w:sz="4" w:space="0"/>
              <w:right w:val="dotted" w:color="auto" w:sz="4" w:space="0"/>
            </w:tcBorders>
            <w:shd w:val="clear" w:color="auto" w:fill="auto"/>
            <w:vAlign w:val="bottom"/>
          </w:tcPr>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账面余额</w:t>
            </w:r>
          </w:p>
        </w:tc>
        <w:tc>
          <w:tcPr>
            <w:tcW w:w="2306" w:type="dxa"/>
            <w:tcBorders>
              <w:top w:val="single" w:color="auto" w:sz="12" w:space="0"/>
              <w:left w:val="dotted" w:color="auto" w:sz="4" w:space="0"/>
              <w:bottom w:val="dotted" w:color="auto" w:sz="4" w:space="0"/>
              <w:right w:val="nil"/>
            </w:tcBorders>
            <w:shd w:val="clear" w:color="auto" w:fill="auto"/>
            <w:vAlign w:val="bottom"/>
          </w:tcPr>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82"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海口市美兰区三江镇人民政府</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8,500,179.40 </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三江镇环境卫生承包费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海南简巢装饰材料有限公司</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 xml:space="preserve">308.00 </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2"/>
                <w:szCs w:val="22"/>
                <w:u w:val="none"/>
                <w:lang w:val="en-US" w:eastAsia="zh-CN" w:bidi="ar"/>
              </w:rPr>
              <w:t>海南济安应急产业发展有限公司</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Arial" w:hAnsi="Arial" w:eastAsia="宋体" w:cs="Arial"/>
                <w:i w:val="0"/>
                <w:iCs w:val="0"/>
                <w:color w:val="auto"/>
                <w:kern w:val="2"/>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445,356.87 </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综合服务费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农场居民</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 xml:space="preserve">32,384.00 </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single" w:color="auto" w:sz="12" w:space="0"/>
              <w:right w:val="dotted"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305" w:type="dxa"/>
            <w:tcBorders>
              <w:top w:val="dotted" w:color="auto" w:sz="4" w:space="0"/>
              <w:left w:val="dotted" w:color="auto" w:sz="4" w:space="0"/>
              <w:bottom w:val="single" w:color="auto" w:sz="12"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2"/>
                <w:sz w:val="22"/>
                <w:szCs w:val="22"/>
                <w:highlight w:val="none"/>
                <w:u w:val="none"/>
                <w:lang w:val="en-US" w:eastAsia="zh-CN" w:bidi="ar-SA"/>
              </w:rPr>
              <w:fldChar w:fldCharType="begin"/>
            </w:r>
            <w:r>
              <w:rPr>
                <w:rFonts w:hint="eastAsia" w:ascii="宋体" w:hAnsi="宋体" w:eastAsia="宋体" w:cs="宋体"/>
                <w:b/>
                <w:bCs/>
                <w:i w:val="0"/>
                <w:iCs w:val="0"/>
                <w:color w:val="auto"/>
                <w:kern w:val="2"/>
                <w:sz w:val="22"/>
                <w:szCs w:val="22"/>
                <w:highlight w:val="none"/>
                <w:u w:val="none"/>
                <w:lang w:val="en-US" w:eastAsia="zh-CN" w:bidi="ar-SA"/>
              </w:rPr>
              <w:instrText xml:space="preserve"> = sum(B2:B5) \* MERGEFORMAT </w:instrText>
            </w:r>
            <w:r>
              <w:rPr>
                <w:rFonts w:hint="eastAsia" w:ascii="宋体" w:hAnsi="宋体" w:eastAsia="宋体" w:cs="宋体"/>
                <w:b/>
                <w:bCs/>
                <w:i w:val="0"/>
                <w:iCs w:val="0"/>
                <w:color w:val="auto"/>
                <w:kern w:val="2"/>
                <w:sz w:val="22"/>
                <w:szCs w:val="22"/>
                <w:highlight w:val="none"/>
                <w:u w:val="none"/>
                <w:lang w:val="en-US" w:eastAsia="zh-CN" w:bidi="ar-SA"/>
              </w:rPr>
              <w:fldChar w:fldCharType="separate"/>
            </w:r>
            <w:r>
              <w:rPr>
                <w:rFonts w:hint="eastAsia" w:ascii="宋体" w:hAnsi="宋体" w:eastAsia="宋体" w:cs="宋体"/>
                <w:b/>
                <w:bCs/>
                <w:i w:val="0"/>
                <w:iCs w:val="0"/>
                <w:color w:val="auto"/>
                <w:kern w:val="2"/>
                <w:sz w:val="22"/>
                <w:szCs w:val="22"/>
                <w:highlight w:val="none"/>
                <w:u w:val="none"/>
                <w:lang w:val="en-US" w:eastAsia="zh-CN" w:bidi="ar-SA"/>
              </w:rPr>
              <w:t>8,978,228.27</w:t>
            </w:r>
            <w:r>
              <w:rPr>
                <w:rFonts w:hint="eastAsia" w:ascii="宋体" w:hAnsi="宋体" w:eastAsia="宋体" w:cs="宋体"/>
                <w:b/>
                <w:bCs/>
                <w:i w:val="0"/>
                <w:iCs w:val="0"/>
                <w:color w:val="auto"/>
                <w:kern w:val="2"/>
                <w:sz w:val="22"/>
                <w:szCs w:val="22"/>
                <w:highlight w:val="none"/>
                <w:u w:val="none"/>
                <w:lang w:val="en-US" w:eastAsia="zh-CN" w:bidi="ar-SA"/>
              </w:rPr>
              <w:fldChar w:fldCharType="end"/>
            </w:r>
          </w:p>
        </w:tc>
        <w:tc>
          <w:tcPr>
            <w:tcW w:w="2306" w:type="dxa"/>
            <w:tcBorders>
              <w:top w:val="dotted" w:color="auto" w:sz="4" w:space="0"/>
              <w:left w:val="dotted" w:color="auto" w:sz="4" w:space="0"/>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105"/>
              <w:jc w:val="center"/>
              <w:rPr>
                <w:rFonts w:hint="eastAsia" w:ascii="宋体" w:hAnsi="宋体" w:eastAsia="宋体" w:cs="宋体"/>
                <w:b/>
                <w:bCs/>
                <w:kern w:val="2"/>
                <w:sz w:val="21"/>
                <w:szCs w:val="21"/>
              </w:rPr>
            </w:pP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三</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预付账款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预付账款账龄分析</w:t>
      </w:r>
    </w:p>
    <w:tbl>
      <w:tblPr>
        <w:tblStyle w:val="5"/>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127"/>
        <w:gridCol w:w="3121"/>
        <w:gridCol w:w="311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账龄结构</w:t>
            </w:r>
          </w:p>
        </w:tc>
        <w:tc>
          <w:tcPr>
            <w:tcW w:w="1866"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1861"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1年以内</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32,707.00 </w:t>
            </w:r>
          </w:p>
        </w:tc>
        <w:tc>
          <w:tcPr>
            <w:tcW w:w="1861"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34,301.05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1-2年</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54,060.82 </w:t>
            </w:r>
          </w:p>
        </w:tc>
        <w:tc>
          <w:tcPr>
            <w:tcW w:w="1861"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13,707.00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 xml:space="preserve"> 合计 </w:t>
            </w:r>
          </w:p>
        </w:tc>
        <w:tc>
          <w:tcPr>
            <w:tcW w:w="1866"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 sum(B2:B3) \* MERGEFORMAT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86,767.82</w:t>
            </w:r>
            <w:r>
              <w:rPr>
                <w:rFonts w:hint="eastAsia" w:ascii="宋体" w:hAnsi="宋体" w:eastAsia="宋体" w:cs="宋体"/>
                <w:i w:val="0"/>
                <w:iCs w:val="0"/>
                <w:color w:val="000000"/>
                <w:kern w:val="0"/>
                <w:sz w:val="22"/>
                <w:szCs w:val="22"/>
                <w:u w:val="none"/>
                <w:lang w:val="en-US" w:eastAsia="zh-CN" w:bidi="ar"/>
              </w:rPr>
              <w:fldChar w:fldCharType="end"/>
            </w:r>
          </w:p>
        </w:tc>
        <w:tc>
          <w:tcPr>
            <w:tcW w:w="1861"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48,008.05</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1"/>
          <w:szCs w:val="21"/>
          <w:lang w:val="en-US" w:eastAsia="zh-CN" w:bidi="ar"/>
        </w:rPr>
        <w:t xml:space="preserve"> </w:t>
      </w:r>
      <w:r>
        <w:rPr>
          <w:rFonts w:hint="eastAsia" w:ascii="宋体" w:hAnsi="宋体" w:eastAsia="宋体" w:cs="宋体"/>
          <w:kern w:val="2"/>
          <w:sz w:val="24"/>
          <w:szCs w:val="24"/>
          <w:lang w:val="en-US" w:eastAsia="zh-CN" w:bidi="ar"/>
        </w:rPr>
        <w:t>预付款项欠款单位明细如下：</w:t>
      </w:r>
    </w:p>
    <w:tbl>
      <w:tblPr>
        <w:tblStyle w:val="5"/>
        <w:tblW w:w="8321" w:type="dxa"/>
        <w:jc w:val="center"/>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748"/>
        <w:gridCol w:w="2288"/>
        <w:gridCol w:w="2285"/>
      </w:tblGrid>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748" w:type="dxa"/>
            <w:tcBorders>
              <w:top w:val="single" w:color="000000" w:sz="12" w:space="0"/>
              <w:left w:val="nil"/>
              <w:bottom w:val="dotted" w:color="auto"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单位名称</w:t>
            </w:r>
          </w:p>
        </w:tc>
        <w:tc>
          <w:tcPr>
            <w:tcW w:w="2288" w:type="dxa"/>
            <w:tcBorders>
              <w:top w:val="single" w:color="000000" w:sz="12"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2285" w:type="dxa"/>
            <w:tcBorders>
              <w:top w:val="single" w:color="000000" w:sz="12"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备注</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szCs w:val="21"/>
              </w:rPr>
              <w:t>海南三江工业贸易公司加油站</w:t>
            </w:r>
          </w:p>
        </w:tc>
        <w:tc>
          <w:tcPr>
            <w:tcW w:w="2288"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Arial" w:hAnsi="Arial" w:eastAsia="宋体" w:cs="Arial"/>
                <w:i w:val="0"/>
                <w:iCs w:val="0"/>
                <w:color w:val="000000"/>
                <w:kern w:val="2"/>
                <w:sz w:val="20"/>
                <w:szCs w:val="20"/>
              </w:rPr>
            </w:pPr>
            <w:r>
              <w:rPr>
                <w:rFonts w:hint="default" w:ascii="宋体" w:hAnsi="宋体" w:eastAsia="宋体" w:cs="宋体"/>
                <w:i w:val="0"/>
                <w:color w:val="000000"/>
                <w:kern w:val="2"/>
                <w:sz w:val="20"/>
                <w:szCs w:val="20"/>
                <w:u w:val="none"/>
                <w:lang w:val="en-US" w:eastAsia="zh-CN" w:bidi="ar-SA"/>
              </w:rPr>
              <w:t>13,707.00</w:t>
            </w:r>
          </w:p>
        </w:tc>
        <w:tc>
          <w:tcPr>
            <w:tcW w:w="2285"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leftChars="0" w:right="0" w:hanging="44" w:hangingChars="21"/>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szCs w:val="21"/>
              </w:rPr>
              <w:t>中国石化销售股份有限公司海南海口石油分公司</w:t>
            </w:r>
          </w:p>
        </w:tc>
        <w:tc>
          <w:tcPr>
            <w:tcW w:w="2288"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default" w:ascii="宋体" w:hAnsi="宋体" w:eastAsia="宋体" w:cs="宋体"/>
                <w:i w:val="0"/>
                <w:color w:val="000000"/>
                <w:kern w:val="2"/>
                <w:sz w:val="20"/>
                <w:szCs w:val="20"/>
                <w:u w:val="none"/>
                <w:lang w:val="en-US" w:eastAsia="zh-CN" w:bidi="ar-SA"/>
              </w:rPr>
              <w:t>54,060.82</w:t>
            </w:r>
          </w:p>
        </w:tc>
        <w:tc>
          <w:tcPr>
            <w:tcW w:w="2285"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leftChars="0" w:right="0" w:hanging="44" w:hangingChars="21"/>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海口龙华潮汕种子店</w:t>
            </w:r>
          </w:p>
        </w:tc>
        <w:tc>
          <w:tcPr>
            <w:tcW w:w="2288"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44" w:leftChars="0" w:right="0" w:hanging="44" w:hangingChars="21"/>
              <w:jc w:val="center"/>
              <w:rPr>
                <w:rFonts w:hint="eastAsia" w:ascii="宋体" w:hAnsi="宋体" w:eastAsia="宋体" w:cs="宋体"/>
                <w:kern w:val="0"/>
                <w:sz w:val="21"/>
                <w:szCs w:val="21"/>
              </w:rPr>
            </w:pPr>
            <w:r>
              <w:rPr>
                <w:rFonts w:hint="eastAsia" w:ascii="宋体" w:hAnsi="宋体" w:eastAsia="宋体" w:cs="宋体"/>
                <w:kern w:val="0"/>
                <w:szCs w:val="21"/>
                <w:lang w:val="en-US" w:eastAsia="zh-CN"/>
              </w:rPr>
              <w:t>19,000.00</w:t>
            </w:r>
          </w:p>
        </w:tc>
        <w:tc>
          <w:tcPr>
            <w:tcW w:w="2285"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leftChars="0" w:right="0" w:hanging="44" w:hangingChars="21"/>
              <w:jc w:val="center"/>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748" w:type="dxa"/>
            <w:tcBorders>
              <w:top w:val="dotted" w:color="auto" w:sz="4" w:space="0"/>
              <w:left w:val="nil"/>
              <w:bottom w:val="single" w:color="000000" w:sz="12"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2288" w:type="dxa"/>
            <w:tcBorders>
              <w:top w:val="dotted" w:color="auto"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fldChar w:fldCharType="begin"/>
            </w:r>
            <w:r>
              <w:rPr>
                <w:rFonts w:hint="eastAsia" w:ascii="宋体" w:hAnsi="宋体" w:eastAsia="宋体" w:cs="宋体"/>
                <w:b/>
                <w:bCs/>
                <w:kern w:val="0"/>
                <w:sz w:val="21"/>
                <w:szCs w:val="21"/>
              </w:rPr>
              <w:instrText xml:space="preserve"> = sum(B2:B4) \* MERGEFORMAT </w:instrText>
            </w:r>
            <w:r>
              <w:rPr>
                <w:rFonts w:hint="eastAsia" w:ascii="宋体" w:hAnsi="宋体" w:eastAsia="宋体" w:cs="宋体"/>
                <w:b/>
                <w:bCs/>
                <w:kern w:val="0"/>
                <w:sz w:val="21"/>
                <w:szCs w:val="21"/>
              </w:rPr>
              <w:fldChar w:fldCharType="separate"/>
            </w:r>
            <w:r>
              <w:rPr>
                <w:rFonts w:hint="eastAsia" w:ascii="宋体" w:hAnsi="宋体" w:eastAsia="宋体" w:cs="宋体"/>
                <w:b/>
                <w:bCs/>
                <w:kern w:val="0"/>
                <w:sz w:val="21"/>
                <w:szCs w:val="21"/>
              </w:rPr>
              <w:t>86</w:t>
            </w:r>
            <w:r>
              <w:rPr>
                <w:rFonts w:hint="eastAsia" w:ascii="宋体" w:hAnsi="宋体" w:eastAsia="宋体" w:cs="宋体"/>
                <w:b/>
                <w:bCs/>
                <w:kern w:val="0"/>
                <w:sz w:val="21"/>
                <w:szCs w:val="21"/>
                <w:lang w:val="en-US" w:eastAsia="zh-CN"/>
              </w:rPr>
              <w:t>,</w:t>
            </w:r>
            <w:r>
              <w:rPr>
                <w:rFonts w:hint="eastAsia" w:ascii="宋体" w:hAnsi="宋体" w:eastAsia="宋体" w:cs="宋体"/>
                <w:b/>
                <w:bCs/>
                <w:kern w:val="0"/>
                <w:sz w:val="21"/>
                <w:szCs w:val="21"/>
              </w:rPr>
              <w:t>767.82</w:t>
            </w:r>
            <w:r>
              <w:rPr>
                <w:rFonts w:hint="eastAsia" w:ascii="宋体" w:hAnsi="宋体" w:eastAsia="宋体" w:cs="宋体"/>
                <w:b/>
                <w:bCs/>
                <w:kern w:val="0"/>
                <w:sz w:val="21"/>
                <w:szCs w:val="21"/>
              </w:rPr>
              <w:fldChar w:fldCharType="end"/>
            </w:r>
          </w:p>
        </w:tc>
        <w:tc>
          <w:tcPr>
            <w:tcW w:w="2285" w:type="dxa"/>
            <w:tcBorders>
              <w:top w:val="dotted" w:color="auto" w:sz="4" w:space="0"/>
              <w:left w:val="single" w:color="000000" w:sz="4" w:space="0"/>
              <w:bottom w:val="single" w:color="000000" w:sz="12"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kern w:val="0"/>
                <w:sz w:val="21"/>
                <w:szCs w:val="21"/>
              </w:rPr>
            </w:pP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highlight w:val="yellow"/>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四</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其他应收款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1"/>
          <w:szCs w:val="21"/>
          <w:lang w:val="en-US" w:eastAsia="zh-CN" w:bidi="ar"/>
        </w:rPr>
        <w:t xml:space="preserve"> </w:t>
      </w:r>
      <w:r>
        <w:rPr>
          <w:rFonts w:hint="eastAsia" w:ascii="宋体" w:hAnsi="宋体" w:eastAsia="宋体" w:cs="宋体"/>
          <w:kern w:val="2"/>
          <w:sz w:val="24"/>
          <w:szCs w:val="24"/>
          <w:lang w:val="en-US" w:eastAsia="zh-CN" w:bidi="ar"/>
        </w:rPr>
        <w:t>其他应收款账龄分析</w:t>
      </w:r>
    </w:p>
    <w:tbl>
      <w:tblPr>
        <w:tblStyle w:val="5"/>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127"/>
        <w:gridCol w:w="3121"/>
        <w:gridCol w:w="311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账龄结构</w:t>
            </w:r>
          </w:p>
        </w:tc>
        <w:tc>
          <w:tcPr>
            <w:tcW w:w="1866"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期末账面余额</w:t>
            </w:r>
          </w:p>
        </w:tc>
        <w:tc>
          <w:tcPr>
            <w:tcW w:w="1861"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1年以内</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591,299.15 </w:t>
            </w:r>
          </w:p>
        </w:tc>
        <w:tc>
          <w:tcPr>
            <w:tcW w:w="1861"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1,407,974.01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1-2年</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168,561.84 </w:t>
            </w:r>
          </w:p>
        </w:tc>
        <w:tc>
          <w:tcPr>
            <w:tcW w:w="1861"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866"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fldChar w:fldCharType="begin"/>
            </w:r>
            <w:r>
              <w:rPr>
                <w:rFonts w:hint="eastAsia" w:ascii="宋体" w:hAnsi="宋体" w:eastAsia="宋体" w:cs="宋体"/>
                <w:b/>
                <w:bCs/>
                <w:kern w:val="0"/>
                <w:sz w:val="21"/>
                <w:szCs w:val="21"/>
                <w:lang w:val="en-US" w:eastAsia="zh-CN"/>
              </w:rPr>
              <w:instrText xml:space="preserve"> = sum(B2:B3) \* MERGEFORMAT </w:instrText>
            </w:r>
            <w:r>
              <w:rPr>
                <w:rFonts w:hint="eastAsia" w:ascii="宋体" w:hAnsi="宋体" w:eastAsia="宋体" w:cs="宋体"/>
                <w:b/>
                <w:bCs/>
                <w:kern w:val="0"/>
                <w:sz w:val="21"/>
                <w:szCs w:val="21"/>
                <w:lang w:val="en-US" w:eastAsia="zh-CN"/>
              </w:rPr>
              <w:fldChar w:fldCharType="separate"/>
            </w:r>
            <w:r>
              <w:rPr>
                <w:rFonts w:hint="eastAsia" w:ascii="宋体" w:hAnsi="宋体" w:eastAsia="宋体" w:cs="宋体"/>
                <w:b/>
                <w:bCs/>
                <w:kern w:val="0"/>
                <w:sz w:val="21"/>
                <w:szCs w:val="21"/>
                <w:lang w:val="en-US" w:eastAsia="zh-CN"/>
              </w:rPr>
              <w:t>759,860.99</w:t>
            </w:r>
            <w:r>
              <w:rPr>
                <w:rFonts w:hint="eastAsia" w:ascii="宋体" w:hAnsi="宋体" w:eastAsia="宋体" w:cs="宋体"/>
                <w:b/>
                <w:bCs/>
                <w:kern w:val="0"/>
                <w:sz w:val="21"/>
                <w:szCs w:val="21"/>
                <w:lang w:val="en-US" w:eastAsia="zh-CN"/>
              </w:rPr>
              <w:fldChar w:fldCharType="end"/>
            </w:r>
          </w:p>
        </w:tc>
        <w:tc>
          <w:tcPr>
            <w:tcW w:w="1861"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1,407,974.01</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其他应收款欠款明细</w:t>
      </w:r>
    </w:p>
    <w:tbl>
      <w:tblPr>
        <w:tblStyle w:val="5"/>
        <w:tblW w:w="8321" w:type="dxa"/>
        <w:jc w:val="center"/>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748"/>
        <w:gridCol w:w="2289"/>
        <w:gridCol w:w="2284"/>
      </w:tblGrid>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748" w:type="dxa"/>
            <w:tcBorders>
              <w:top w:val="single" w:color="000000" w:sz="12" w:space="0"/>
              <w:left w:val="nil"/>
              <w:bottom w:val="dotted" w:color="auto"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单位名称</w:t>
            </w:r>
          </w:p>
        </w:tc>
        <w:tc>
          <w:tcPr>
            <w:tcW w:w="2289" w:type="dxa"/>
            <w:tcBorders>
              <w:top w:val="single" w:color="000000" w:sz="12"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1" w:after="0" w:afterAutospacing="1"/>
              <w:ind w:left="44" w:right="0" w:hanging="44" w:hangingChars="21"/>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期末账面余额</w:t>
            </w:r>
          </w:p>
        </w:tc>
        <w:tc>
          <w:tcPr>
            <w:tcW w:w="2284" w:type="dxa"/>
            <w:tcBorders>
              <w:top w:val="single" w:color="000000" w:sz="12"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备注</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海口市三江农场</w:t>
            </w:r>
          </w:p>
        </w:tc>
        <w:tc>
          <w:tcPr>
            <w:tcW w:w="2289"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580,060.34 </w:t>
            </w:r>
          </w:p>
        </w:tc>
        <w:tc>
          <w:tcPr>
            <w:tcW w:w="2284"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保证金</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社会保险费（个人部分）</w:t>
            </w:r>
          </w:p>
        </w:tc>
        <w:tc>
          <w:tcPr>
            <w:tcW w:w="2289"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11,238.81 </w:t>
            </w:r>
          </w:p>
        </w:tc>
        <w:tc>
          <w:tcPr>
            <w:tcW w:w="2284"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保险费</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海口市美兰区劳动保障监察大队</w:t>
            </w:r>
          </w:p>
        </w:tc>
        <w:tc>
          <w:tcPr>
            <w:tcW w:w="2289"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168,561.84</w:t>
            </w:r>
          </w:p>
        </w:tc>
        <w:tc>
          <w:tcPr>
            <w:tcW w:w="2284"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农民工工资保证金</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748" w:type="dxa"/>
            <w:tcBorders>
              <w:top w:val="dotted" w:color="auto" w:sz="4" w:space="0"/>
              <w:left w:val="nil"/>
              <w:bottom w:val="single" w:color="000000" w:sz="12"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default" w:ascii="Times New Roman" w:hAnsi="Times New Roman" w:cs="Times New Roman"/>
                <w:b/>
                <w:bCs/>
                <w:kern w:val="2"/>
                <w:sz w:val="21"/>
                <w:szCs w:val="21"/>
              </w:rPr>
            </w:pPr>
            <w:r>
              <w:rPr>
                <w:rFonts w:hint="eastAsia" w:ascii="宋体" w:hAnsi="宋体" w:eastAsia="宋体" w:cs="宋体"/>
                <w:b/>
                <w:bCs/>
                <w:kern w:val="2"/>
                <w:sz w:val="21"/>
                <w:szCs w:val="21"/>
                <w:lang w:val="en-US" w:eastAsia="zh-CN" w:bidi="ar"/>
              </w:rPr>
              <w:t>合计</w:t>
            </w:r>
          </w:p>
        </w:tc>
        <w:tc>
          <w:tcPr>
            <w:tcW w:w="2289" w:type="dxa"/>
            <w:tcBorders>
              <w:top w:val="dotted" w:color="auto"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fldChar w:fldCharType="begin"/>
            </w:r>
            <w:r>
              <w:rPr>
                <w:rFonts w:hint="eastAsia" w:ascii="宋体" w:hAnsi="宋体" w:eastAsia="宋体" w:cs="宋体"/>
                <w:b/>
                <w:bCs/>
                <w:kern w:val="0"/>
                <w:sz w:val="21"/>
                <w:szCs w:val="21"/>
                <w:lang w:val="en-US" w:eastAsia="zh-CN"/>
              </w:rPr>
              <w:instrText xml:space="preserve"> = sum(B2:B4) \* MERGEFORMAT </w:instrText>
            </w:r>
            <w:r>
              <w:rPr>
                <w:rFonts w:hint="eastAsia" w:ascii="宋体" w:hAnsi="宋体" w:eastAsia="宋体" w:cs="宋体"/>
                <w:b/>
                <w:bCs/>
                <w:kern w:val="0"/>
                <w:sz w:val="21"/>
                <w:szCs w:val="21"/>
                <w:lang w:val="en-US" w:eastAsia="zh-CN"/>
              </w:rPr>
              <w:fldChar w:fldCharType="separate"/>
            </w:r>
            <w:r>
              <w:rPr>
                <w:rFonts w:hint="eastAsia" w:ascii="宋体" w:hAnsi="宋体" w:eastAsia="宋体" w:cs="宋体"/>
                <w:b/>
                <w:bCs/>
                <w:kern w:val="0"/>
                <w:sz w:val="21"/>
                <w:szCs w:val="21"/>
                <w:lang w:val="en-US" w:eastAsia="zh-CN"/>
              </w:rPr>
              <w:t>759,860.99</w:t>
            </w:r>
            <w:r>
              <w:rPr>
                <w:rFonts w:hint="eastAsia" w:ascii="宋体" w:hAnsi="宋体" w:eastAsia="宋体" w:cs="宋体"/>
                <w:b/>
                <w:bCs/>
                <w:kern w:val="0"/>
                <w:sz w:val="21"/>
                <w:szCs w:val="21"/>
                <w:lang w:val="en-US" w:eastAsia="zh-CN"/>
              </w:rPr>
              <w:fldChar w:fldCharType="end"/>
            </w:r>
          </w:p>
        </w:tc>
        <w:tc>
          <w:tcPr>
            <w:tcW w:w="2284" w:type="dxa"/>
            <w:tcBorders>
              <w:top w:val="dotted" w:color="auto" w:sz="4" w:space="0"/>
              <w:left w:val="single" w:color="000000" w:sz="4" w:space="0"/>
              <w:bottom w:val="single" w:color="000000" w:sz="12"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default" w:ascii="宋体" w:hAnsi="宋体" w:eastAsia="宋体" w:cs="宋体"/>
                <w:b/>
                <w:bCs/>
                <w:kern w:val="0"/>
                <w:sz w:val="21"/>
                <w:szCs w:val="21"/>
                <w:lang w:val="en-US" w:eastAsia="zh-CN"/>
              </w:rPr>
            </w:pP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存货</w:t>
      </w:r>
    </w:p>
    <w:tbl>
      <w:tblPr>
        <w:tblStyle w:val="5"/>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原材料</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44,546.84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506,851.84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477,189.18 </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74,209.50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周转材料</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99,027.16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136,488.47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132,672.59 </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102,843.04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库存商品</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2"/>
                <w:szCs w:val="22"/>
                <w:lang w:val="en-US" w:eastAsia="zh-CN"/>
              </w:rPr>
            </w:pPr>
            <w:r>
              <w:rPr>
                <w:rFonts w:hint="eastAsia" w:ascii="宋体" w:hAnsi="宋体" w:eastAsia="宋体" w:cs="宋体"/>
                <w:color w:val="auto"/>
                <w:kern w:val="2"/>
                <w:sz w:val="22"/>
                <w:szCs w:val="22"/>
                <w:lang w:val="en-US" w:eastAsia="zh-CN"/>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704,666.77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704,666.77 </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生产成本</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auto"/>
                <w:kern w:val="2"/>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148,262.73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631,163.53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485,929.14 </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293,497.12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消耗性生物资产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278,676.83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257,408.40 </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rPr>
            </w:pPr>
            <w:r>
              <w:rPr>
                <w:rFonts w:hint="eastAsia" w:ascii="宋体" w:hAnsi="宋体" w:eastAsia="宋体" w:cs="宋体"/>
                <w:i w:val="0"/>
                <w:iCs w:val="0"/>
                <w:color w:val="auto"/>
                <w:kern w:val="0"/>
                <w:sz w:val="22"/>
                <w:szCs w:val="22"/>
                <w:u w:val="none"/>
                <w:lang w:val="en-US" w:eastAsia="zh-CN" w:bidi="ar"/>
              </w:rPr>
              <w:t>21,268.43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cs="Times New Roman"/>
                <w:b/>
                <w:bCs/>
                <w:color w:val="auto"/>
                <w:kern w:val="0"/>
                <w:sz w:val="22"/>
                <w:szCs w:val="22"/>
              </w:rPr>
            </w:pPr>
            <w:r>
              <w:rPr>
                <w:rFonts w:hint="eastAsia" w:ascii="宋体" w:hAnsi="宋体" w:eastAsia="宋体" w:cs="宋体"/>
                <w:b/>
                <w:bCs/>
                <w:color w:val="auto"/>
                <w:kern w:val="0"/>
                <w:sz w:val="22"/>
                <w:szCs w:val="22"/>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2"/>
                <w:sz w:val="22"/>
                <w:szCs w:val="22"/>
              </w:rPr>
            </w:pPr>
            <w:r>
              <w:rPr>
                <w:rFonts w:hint="eastAsia" w:ascii="宋体" w:hAnsi="宋体" w:eastAsia="宋体" w:cs="宋体"/>
                <w:b/>
                <w:bCs/>
                <w:i w:val="0"/>
                <w:iCs w:val="0"/>
                <w:color w:val="auto"/>
                <w:kern w:val="0"/>
                <w:sz w:val="22"/>
                <w:szCs w:val="22"/>
                <w:u w:val="none"/>
                <w:lang w:val="en-US" w:eastAsia="zh-CN" w:bidi="ar"/>
              </w:rPr>
              <w:t xml:space="preserve">291,836.73 </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auto"/>
                <w:kern w:val="2"/>
                <w:sz w:val="22"/>
                <w:szCs w:val="22"/>
              </w:rPr>
            </w:pPr>
            <w:r>
              <w:rPr>
                <w:rFonts w:hint="eastAsia" w:ascii="宋体" w:hAnsi="宋体" w:eastAsia="宋体" w:cs="宋体"/>
                <w:b/>
                <w:bCs/>
                <w:i w:val="0"/>
                <w:iCs w:val="0"/>
                <w:color w:val="auto"/>
                <w:kern w:val="0"/>
                <w:sz w:val="22"/>
                <w:szCs w:val="22"/>
                <w:u w:val="none"/>
                <w:lang w:val="en-US" w:eastAsia="zh-CN" w:bidi="ar"/>
              </w:rPr>
              <w:t xml:space="preserve">2,257,847.44 </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auto"/>
                <w:kern w:val="2"/>
                <w:sz w:val="22"/>
                <w:szCs w:val="22"/>
              </w:rPr>
            </w:pPr>
            <w:r>
              <w:rPr>
                <w:rFonts w:hint="eastAsia" w:ascii="宋体" w:hAnsi="宋体" w:eastAsia="宋体" w:cs="宋体"/>
                <w:b/>
                <w:bCs/>
                <w:i w:val="0"/>
                <w:iCs w:val="0"/>
                <w:color w:val="auto"/>
                <w:kern w:val="0"/>
                <w:sz w:val="22"/>
                <w:szCs w:val="22"/>
                <w:u w:val="none"/>
                <w:lang w:val="en-US" w:eastAsia="zh-CN" w:bidi="ar"/>
              </w:rPr>
              <w:t xml:space="preserve">2,057,866.08 </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2"/>
                <w:sz w:val="22"/>
                <w:szCs w:val="22"/>
              </w:rPr>
            </w:pPr>
            <w:r>
              <w:rPr>
                <w:rFonts w:hint="eastAsia" w:ascii="宋体" w:hAnsi="宋体" w:eastAsia="宋体" w:cs="宋体"/>
                <w:b/>
                <w:bCs/>
                <w:i w:val="0"/>
                <w:iCs w:val="0"/>
                <w:color w:val="auto"/>
                <w:kern w:val="0"/>
                <w:sz w:val="22"/>
                <w:szCs w:val="22"/>
                <w:u w:val="none"/>
                <w:lang w:val="en-US" w:eastAsia="zh-CN" w:bidi="ar"/>
              </w:rPr>
              <w:t>491,818.09</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六</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固定资产</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固定资产原值</w:t>
      </w:r>
    </w:p>
    <w:tbl>
      <w:tblPr>
        <w:tblStyle w:val="5"/>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电器设备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233,147.38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90,783.75</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323,931.13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办公家具</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33,133.00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33,133.00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专用设备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9,126.22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9,126.22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运输设备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1,433,795.71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202,577.66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1,636,373.37</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电子设备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122,343.54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122,343.54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通用设备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5,479.20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5,479.20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家具设备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房屋、构筑物</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17,200.00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17,200.00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农业机械设备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80,536.85</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15,580.00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96,116.85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其他固定资产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19,413.03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19,413.03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leftChars="0" w:right="0" w:rightChars="0"/>
              <w:jc w:val="center"/>
              <w:rPr>
                <w:rFonts w:hint="eastAsia" w:ascii="宋体" w:hAnsi="宋体" w:eastAsia="宋体" w:cs="宋体"/>
                <w:b/>
                <w:bCs w:val="0"/>
                <w:color w:val="000000"/>
                <w:kern w:val="2"/>
                <w:sz w:val="22"/>
                <w:szCs w:val="22"/>
              </w:rPr>
            </w:pPr>
            <w:r>
              <w:rPr>
                <w:rFonts w:hint="eastAsia" w:ascii="宋体" w:hAnsi="宋体" w:eastAsia="宋体" w:cs="宋体"/>
                <w:b/>
                <w:bCs w:val="0"/>
                <w:color w:val="000000"/>
                <w:kern w:val="2"/>
                <w:sz w:val="22"/>
                <w:szCs w:val="22"/>
                <w:lang w:val="en-US" w:eastAsia="zh-CN" w:bidi="ar"/>
              </w:rPr>
              <w:t>1,927,848.71</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iCs w:val="0"/>
                <w:color w:val="000000"/>
                <w:kern w:val="0"/>
                <w:sz w:val="22"/>
                <w:szCs w:val="22"/>
                <w:u w:val="none"/>
                <w:lang w:val="en-US" w:eastAsia="zh-CN" w:bidi="ar"/>
              </w:rPr>
            </w:pPr>
            <w:r>
              <w:rPr>
                <w:rFonts w:hint="eastAsia" w:ascii="宋体" w:hAnsi="宋体" w:eastAsia="宋体" w:cs="宋体"/>
                <w:b/>
                <w:bCs w:val="0"/>
                <w:i w:val="0"/>
                <w:iCs w:val="0"/>
                <w:color w:val="000000"/>
                <w:kern w:val="0"/>
                <w:sz w:val="22"/>
                <w:szCs w:val="22"/>
                <w:u w:val="none"/>
                <w:lang w:val="en-US" w:eastAsia="zh-CN" w:bidi="ar"/>
              </w:rPr>
              <w:t>335,267.63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val="0"/>
                <w:i w:val="0"/>
                <w:iCs w:val="0"/>
                <w:color w:val="000000"/>
                <w:kern w:val="0"/>
                <w:sz w:val="22"/>
                <w:szCs w:val="22"/>
                <w:u w:val="none"/>
                <w:lang w:val="en-US" w:eastAsia="zh-CN" w:bidi="ar"/>
              </w:rPr>
            </w:pPr>
            <w:r>
              <w:rPr>
                <w:rFonts w:hint="eastAsia" w:ascii="宋体" w:hAnsi="宋体" w:eastAsia="宋体" w:cs="宋体"/>
                <w:b/>
                <w:bCs w:val="0"/>
                <w:i w:val="0"/>
                <w:iCs w:val="0"/>
                <w:color w:val="000000"/>
                <w:kern w:val="0"/>
                <w:sz w:val="22"/>
                <w:szCs w:val="22"/>
                <w:u w:val="none"/>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kern w:val="2"/>
                <w:sz w:val="22"/>
                <w:szCs w:val="22"/>
              </w:rPr>
            </w:pPr>
            <w:r>
              <w:rPr>
                <w:rFonts w:hint="eastAsia" w:ascii="宋体" w:hAnsi="宋体" w:eastAsia="宋体" w:cs="宋体"/>
                <w:b/>
                <w:bCs w:val="0"/>
                <w:i w:val="0"/>
                <w:iCs w:val="0"/>
                <w:color w:val="000000"/>
                <w:kern w:val="0"/>
                <w:sz w:val="22"/>
                <w:szCs w:val="22"/>
                <w:u w:val="none"/>
                <w:lang w:val="en-US" w:eastAsia="zh-CN" w:bidi="ar"/>
              </w:rPr>
              <w:t>2,263,116.34</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eastAsia" w:ascii="宋体" w:hAnsi="宋体" w:eastAsia="宋体" w:cs="宋体"/>
          <w:color w:val="auto"/>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color w:val="auto"/>
          <w:kern w:val="0"/>
          <w:sz w:val="24"/>
          <w:szCs w:val="24"/>
          <w:lang w:val="en-US" w:eastAsia="zh-CN" w:bidi="ar"/>
        </w:rPr>
        <w:t>累计折旧</w:t>
      </w:r>
    </w:p>
    <w:tbl>
      <w:tblPr>
        <w:tblStyle w:val="5"/>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color w:val="auto"/>
                <w:kern w:val="0"/>
                <w:sz w:val="21"/>
                <w:szCs w:val="21"/>
              </w:rPr>
            </w:pPr>
            <w:r>
              <w:rPr>
                <w:rFonts w:hint="eastAsia" w:ascii="宋体" w:hAnsi="宋体" w:eastAsia="宋体" w:cs="宋体"/>
                <w:color w:val="auto"/>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电器设备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60,537.23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71,827.91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132,365.14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办公家具</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15,601.09</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9,039.90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24,640.99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专用设备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运输设备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877,906.40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269,231.01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1,147,137.41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电子设备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28,040.79</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17,588.22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45,629.01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通用设备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309.06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1,599.84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1,908.90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家具设备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1,734.36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1,734.36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i w:val="0"/>
                <w:iCs w:val="0"/>
                <w:color w:val="auto"/>
                <w:kern w:val="0"/>
                <w:sz w:val="22"/>
                <w:szCs w:val="22"/>
                <w:u w:val="none"/>
                <w:lang w:val="en-US" w:eastAsia="zh-CN" w:bidi="ar"/>
              </w:rPr>
              <w:t>房屋、构筑物</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i w:val="0"/>
                <w:iCs w:val="0"/>
                <w:color w:val="auto"/>
                <w:kern w:val="0"/>
                <w:sz w:val="22"/>
                <w:szCs w:val="22"/>
                <w:u w:val="none"/>
                <w:lang w:val="en-US" w:eastAsia="zh-CN" w:bidi="ar"/>
              </w:rPr>
              <w:t>农业机械设备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35,776.37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21,652.75</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57,429.12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i w:val="0"/>
                <w:iCs w:val="0"/>
                <w:color w:val="auto"/>
                <w:kern w:val="0"/>
                <w:sz w:val="22"/>
                <w:szCs w:val="22"/>
                <w:u w:val="none"/>
                <w:lang w:val="en-US" w:eastAsia="zh-CN" w:bidi="ar"/>
              </w:rPr>
              <w:t>其他固定资产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3,003.00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13,106.94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16,109.94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1,021,173.94</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405,780.93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1,426,954.87</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highlight w:val="none"/>
          <w:lang w:val="en-US" w:eastAsia="zh-CN" w:bidi="ar"/>
        </w:rPr>
        <w:t>3.</w:t>
      </w:r>
      <w:r>
        <w:rPr>
          <w:rFonts w:hint="eastAsia" w:ascii="宋体" w:hAnsi="宋体" w:eastAsia="宋体" w:cs="宋体"/>
          <w:kern w:val="0"/>
          <w:sz w:val="24"/>
          <w:szCs w:val="24"/>
          <w:highlight w:val="none"/>
          <w:lang w:val="en-US" w:eastAsia="zh-CN" w:bidi="ar"/>
        </w:rPr>
        <w:t>固定资产账面价值</w:t>
      </w:r>
    </w:p>
    <w:tbl>
      <w:tblPr>
        <w:tblStyle w:val="5"/>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电器设备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172,610.15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18,955.84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191,565.99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办公家具</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17,531.91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-9,039.90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8,492.01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专用设备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9,126.22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9,126.22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运输设备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555,889.31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-66,653.35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489,235.96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电子设备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94,302.75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-17,588.22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76,714.53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通用设备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5,170.14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-1,599.84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3,570.30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家具设备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-1,734.36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-1,734.36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房屋、构筑物</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val="en-US" w:eastAsia="zh-CN" w:bidi="ar"/>
              </w:rPr>
              <w:t xml:space="preserve">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17,200.00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17,200.00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农业机械设备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44,760.48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-6,072.75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38,687.73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其他固定资产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16,410.03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-13,106.94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3,303.09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906,674.77 </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-70,513.30 </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836,161.47 </w:t>
            </w:r>
          </w:p>
        </w:tc>
      </w:tr>
    </w:tbl>
    <w:p>
      <w:pPr>
        <w:keepNext w:val="0"/>
        <w:keepLines w:val="0"/>
        <w:widowControl w:val="0"/>
        <w:suppressLineNumbers w:val="0"/>
        <w:autoSpaceDE w:val="0"/>
        <w:autoSpaceDN/>
        <w:spacing w:before="156" w:beforeLines="50" w:beforeAutospacing="0" w:after="0" w:afterAutospacing="0" w:line="5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（七）在建工程</w:t>
      </w:r>
    </w:p>
    <w:tbl>
      <w:tblPr>
        <w:tblStyle w:val="5"/>
        <w:tblW w:w="8544"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1708" w:type="dxa"/>
            <w:tcBorders>
              <w:tl2br w:val="nil"/>
              <w:tr2bl w:val="nil"/>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708" w:type="dxa"/>
            <w:tcBorders>
              <w:tl2br w:val="nil"/>
              <w:tr2bl w:val="nil"/>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708" w:type="dxa"/>
            <w:tcBorders>
              <w:tl2br w:val="nil"/>
              <w:tr2bl w:val="nil"/>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708" w:type="dxa"/>
            <w:tcBorders>
              <w:tl2br w:val="nil"/>
              <w:tr2bl w:val="nil"/>
            </w:tcBorders>
            <w:shd w:val="clear" w:color="auto" w:fill="auto"/>
            <w:tcMar>
              <w:top w:w="15" w:type="dxa"/>
              <w:left w:w="15" w:type="dxa"/>
              <w:right w:w="15" w:type="dxa"/>
            </w:tcMar>
            <w:vAlign w:val="bottom"/>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712" w:type="dxa"/>
            <w:tcBorders>
              <w:tl2br w:val="nil"/>
              <w:tr2bl w:val="nil"/>
            </w:tcBorders>
            <w:shd w:val="clear" w:color="auto" w:fill="auto"/>
            <w:tcMar>
              <w:top w:w="15" w:type="dxa"/>
              <w:left w:w="15" w:type="dxa"/>
              <w:right w:w="15" w:type="dxa"/>
            </w:tcMar>
            <w:vAlign w:val="bottom"/>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0" w:type="dxa"/>
            <w:bottom w:w="0" w:type="dxa"/>
            <w:right w:w="0" w:type="dxa"/>
          </w:tblCellMar>
        </w:tblPrEx>
        <w:trPr>
          <w:trHeight w:val="285" w:hRule="atLeast"/>
        </w:trPr>
        <w:tc>
          <w:tcPr>
            <w:tcW w:w="1708" w:type="dxa"/>
            <w:tcBorders>
              <w:tl2br w:val="nil"/>
              <w:tr2bl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千亩蔬菜基地</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3,361,130.98</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412,493.00 </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3,773,623.98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17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2022年在建工程</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2,828.00 </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2,828.00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17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在安装设备</w:t>
            </w:r>
          </w:p>
        </w:tc>
        <w:tc>
          <w:tcPr>
            <w:tcW w:w="17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0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85,175.28 </w:t>
            </w:r>
          </w:p>
        </w:tc>
        <w:tc>
          <w:tcPr>
            <w:tcW w:w="17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7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85,175.28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1708" w:type="dxa"/>
            <w:tcBorders>
              <w:tl2br w:val="nil"/>
              <w:tr2bl w:val="nil"/>
            </w:tcBorders>
            <w:shd w:val="clear" w:color="auto" w:fill="auto"/>
            <w:vAlign w:val="bottom"/>
          </w:tcPr>
          <w:p>
            <w:pPr>
              <w:keepNext w:val="0"/>
              <w:keepLines w:val="0"/>
              <w:widowControl w:val="0"/>
              <w:suppressLineNumbers w:val="0"/>
              <w:spacing w:before="0" w:beforeAutospacing="0" w:after="0" w:afterAutospacing="0" w:line="360" w:lineRule="exact"/>
              <w:ind w:left="0" w:leftChars="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70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3,361,130.98 </w:t>
            </w:r>
          </w:p>
        </w:tc>
        <w:tc>
          <w:tcPr>
            <w:tcW w:w="170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500,496.28 </w:t>
            </w:r>
          </w:p>
        </w:tc>
        <w:tc>
          <w:tcPr>
            <w:tcW w:w="170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 </w:t>
            </w:r>
          </w:p>
        </w:tc>
        <w:tc>
          <w:tcPr>
            <w:tcW w:w="17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3,861,627.26 </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（八）生产性生物资产</w:t>
      </w:r>
    </w:p>
    <w:tbl>
      <w:tblPr>
        <w:tblStyle w:val="5"/>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2"/>
                <w:szCs w:val="22"/>
                <w:lang w:val="en-US" w:eastAsia="zh-CN" w:bidi="ar"/>
              </w:rPr>
              <w:t>椰子基地-椰子</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2"/>
                <w:szCs w:val="22"/>
              </w:rPr>
            </w:pPr>
            <w:r>
              <w:rPr>
                <w:rFonts w:hint="eastAsia" w:ascii="宋体" w:hAnsi="宋体" w:eastAsia="宋体" w:cs="宋体"/>
                <w:i w:val="0"/>
                <w:color w:val="000000"/>
                <w:kern w:val="0"/>
                <w:sz w:val="22"/>
                <w:szCs w:val="22"/>
                <w:u w:val="none"/>
                <w:lang w:val="en-US" w:eastAsia="zh-CN" w:bidi="ar"/>
              </w:rPr>
              <w:t>201,894.43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2"/>
                <w:szCs w:val="22"/>
              </w:rPr>
            </w:pPr>
            <w:r>
              <w:rPr>
                <w:rFonts w:hint="default" w:ascii="宋体" w:hAnsi="宋体" w:eastAsia="宋体" w:cs="宋体"/>
                <w:i w:val="0"/>
                <w:color w:val="000000"/>
                <w:kern w:val="0"/>
                <w:sz w:val="22"/>
                <w:szCs w:val="22"/>
                <w:u w:val="none"/>
                <w:lang w:val="en-US" w:eastAsia="zh-CN" w:bidi="ar"/>
              </w:rPr>
              <w:t>563,404.34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2"/>
                <w:szCs w:val="22"/>
              </w:rPr>
            </w:pPr>
            <w:r>
              <w:rPr>
                <w:rFonts w:hint="eastAsia" w:ascii="宋体" w:hAnsi="宋体" w:eastAsia="宋体" w:cs="宋体"/>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2"/>
                <w:szCs w:val="22"/>
              </w:rPr>
            </w:pPr>
            <w:r>
              <w:rPr>
                <w:rFonts w:hint="default" w:ascii="宋体" w:hAnsi="宋体" w:eastAsia="宋体" w:cs="宋体"/>
                <w:i w:val="0"/>
                <w:color w:val="000000"/>
                <w:kern w:val="0"/>
                <w:sz w:val="22"/>
                <w:szCs w:val="22"/>
                <w:u w:val="none"/>
                <w:lang w:val="en-US" w:eastAsia="zh-CN" w:bidi="ar"/>
              </w:rPr>
              <w:t>765,298.77</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2"/>
                <w:szCs w:val="22"/>
              </w:rPr>
            </w:pPr>
            <w:r>
              <w:rPr>
                <w:rFonts w:hint="eastAsia" w:ascii="宋体" w:hAnsi="宋体" w:eastAsia="宋体" w:cs="宋体"/>
                <w:b/>
                <w:bCs/>
                <w:i w:val="0"/>
                <w:color w:val="000000"/>
                <w:kern w:val="0"/>
                <w:sz w:val="22"/>
                <w:szCs w:val="22"/>
                <w:u w:val="none"/>
                <w:lang w:val="en-US" w:eastAsia="zh-CN" w:bidi="ar"/>
              </w:rPr>
              <w:t>201,894.43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2"/>
                <w:szCs w:val="22"/>
              </w:rPr>
            </w:pPr>
            <w:r>
              <w:rPr>
                <w:rFonts w:hint="default" w:ascii="宋体" w:hAnsi="宋体" w:eastAsia="宋体" w:cs="宋体"/>
                <w:b/>
                <w:bCs/>
                <w:i w:val="0"/>
                <w:color w:val="000000"/>
                <w:kern w:val="0"/>
                <w:sz w:val="22"/>
                <w:szCs w:val="22"/>
                <w:u w:val="none"/>
                <w:lang w:val="en-US" w:eastAsia="zh-CN" w:bidi="ar"/>
              </w:rPr>
              <w:t>563,404.34</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2"/>
                <w:szCs w:val="22"/>
              </w:rPr>
            </w:pPr>
            <w:r>
              <w:rPr>
                <w:rFonts w:hint="eastAsia" w:ascii="宋体" w:hAnsi="宋体" w:eastAsia="宋体" w:cs="宋体"/>
                <w:b/>
                <w:bCs/>
                <w:i w:val="0"/>
                <w:color w:val="000000"/>
                <w:kern w:val="0"/>
                <w:sz w:val="22"/>
                <w:szCs w:val="22"/>
                <w:u w:val="none"/>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2"/>
                <w:szCs w:val="22"/>
              </w:rPr>
            </w:pPr>
            <w:r>
              <w:rPr>
                <w:rFonts w:hint="default" w:ascii="宋体" w:hAnsi="宋体" w:eastAsia="宋体" w:cs="宋体"/>
                <w:b/>
                <w:bCs/>
                <w:i w:val="0"/>
                <w:color w:val="000000"/>
                <w:kern w:val="0"/>
                <w:sz w:val="22"/>
                <w:szCs w:val="22"/>
                <w:u w:val="none"/>
                <w:lang w:val="en-US" w:eastAsia="zh-CN" w:bidi="ar"/>
              </w:rPr>
              <w:t>765,298.77</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（九）无形资产</w:t>
      </w:r>
    </w:p>
    <w:tbl>
      <w:tblPr>
        <w:tblStyle w:val="5"/>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0"/>
                <w:szCs w:val="20"/>
                <w:lang w:val="en-US" w:eastAsia="zh-CN" w:bidi="ar"/>
              </w:rPr>
              <w:t>原值</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0"/>
                <w:szCs w:val="20"/>
              </w:rPr>
            </w:pPr>
            <w:r>
              <w:rPr>
                <w:rFonts w:hint="eastAsia" w:ascii="宋体" w:hAnsi="宋体" w:eastAsia="宋体" w:cs="宋体"/>
                <w:i w:val="0"/>
                <w:iCs w:val="0"/>
                <w:color w:val="000000"/>
                <w:kern w:val="0"/>
                <w:sz w:val="22"/>
                <w:szCs w:val="22"/>
                <w:u w:val="none"/>
                <w:lang w:val="en-US" w:eastAsia="zh-CN" w:bidi="ar"/>
              </w:rPr>
              <w:t>商标权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10,098.00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10,098.00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0"/>
                <w:szCs w:val="20"/>
              </w:rPr>
            </w:pPr>
            <w:r>
              <w:rPr>
                <w:rFonts w:hint="eastAsia" w:ascii="宋体" w:hAnsi="宋体" w:eastAsia="宋体" w:cs="宋体"/>
                <w:i w:val="0"/>
                <w:iCs w:val="0"/>
                <w:color w:val="000000"/>
                <w:kern w:val="0"/>
                <w:sz w:val="22"/>
                <w:szCs w:val="22"/>
                <w:u w:val="none"/>
                <w:lang w:val="en-US" w:eastAsia="zh-CN" w:bidi="ar"/>
              </w:rPr>
              <w:t>土地使用权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971,157,717.06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971,157,717.06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Arial" w:hAnsi="Arial" w:eastAsia="宋体" w:cs="宋体"/>
                <w:color w:val="000000"/>
                <w:kern w:val="2"/>
                <w:sz w:val="20"/>
                <w:szCs w:val="20"/>
              </w:rPr>
            </w:pPr>
            <w:r>
              <w:rPr>
                <w:rFonts w:hint="eastAsia" w:ascii="宋体" w:hAnsi="宋体" w:eastAsia="宋体" w:cs="宋体"/>
                <w:i w:val="0"/>
                <w:iCs w:val="0"/>
                <w:color w:val="000000"/>
                <w:kern w:val="0"/>
                <w:sz w:val="22"/>
                <w:szCs w:val="22"/>
                <w:u w:val="none"/>
                <w:lang w:val="en-US" w:eastAsia="zh-CN" w:bidi="ar"/>
              </w:rPr>
              <w:t>管理用软件</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18,600.00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155,297.34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173,897.34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小计</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971,186,415.06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155,297.34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971,341,712.40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iCs w:val="0"/>
                <w:color w:val="000000"/>
                <w:kern w:val="0"/>
                <w:sz w:val="22"/>
                <w:szCs w:val="22"/>
                <w:u w:val="none"/>
                <w:lang w:val="en-US" w:eastAsia="zh-CN" w:bidi="ar"/>
              </w:rPr>
              <w:t>商标权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4,711.21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3,325.56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8,036.77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0"/>
                <w:szCs w:val="20"/>
              </w:rPr>
            </w:pPr>
            <w:r>
              <w:rPr>
                <w:rFonts w:hint="eastAsia" w:ascii="宋体" w:hAnsi="宋体" w:eastAsia="宋体" w:cs="宋体"/>
                <w:i w:val="0"/>
                <w:iCs w:val="0"/>
                <w:color w:val="000000"/>
                <w:kern w:val="0"/>
                <w:sz w:val="22"/>
                <w:szCs w:val="22"/>
                <w:u w:val="none"/>
                <w:lang w:val="en-US" w:eastAsia="zh-CN" w:bidi="ar"/>
              </w:rPr>
              <w:t>土地使用权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0.00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0"/>
                <w:szCs w:val="20"/>
              </w:rPr>
            </w:pPr>
            <w:r>
              <w:rPr>
                <w:rFonts w:hint="eastAsia" w:ascii="宋体" w:hAnsi="宋体" w:eastAsia="宋体" w:cs="宋体"/>
                <w:i w:val="0"/>
                <w:iCs w:val="0"/>
                <w:color w:val="000000"/>
                <w:kern w:val="0"/>
                <w:sz w:val="22"/>
                <w:szCs w:val="22"/>
                <w:u w:val="none"/>
                <w:lang w:val="en-US" w:eastAsia="zh-CN" w:bidi="ar"/>
              </w:rPr>
              <w:t>管理用软件</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15,216.65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21,996.89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37,213.54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0"/>
                <w:szCs w:val="20"/>
              </w:rPr>
            </w:pPr>
            <w:r>
              <w:rPr>
                <w:rFonts w:hint="eastAsia" w:ascii="宋体" w:hAnsi="宋体" w:eastAsia="宋体" w:cs="宋体"/>
                <w:b/>
                <w:bCs w:val="0"/>
                <w:color w:val="000000"/>
                <w:kern w:val="2"/>
                <w:sz w:val="20"/>
                <w:szCs w:val="20"/>
                <w:lang w:val="en-US" w:eastAsia="zh-CN" w:bidi="ar"/>
              </w:rPr>
              <w:t>小计</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19,927.86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25,322.45 </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45,250.31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971,166,487.20 </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129,974.89 </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971,296,462.09 </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注：按照中共海口市委办公厅</w:t>
      </w:r>
      <w:r>
        <w:rPr>
          <w:rFonts w:hint="eastAsia" w:ascii="Times New Roman" w:hAnsi="Times New Roman" w:eastAsia="宋体" w:cs="Times New Roman"/>
          <w:kern w:val="2"/>
          <w:sz w:val="24"/>
          <w:szCs w:val="24"/>
          <w:lang w:val="en-US" w:eastAsia="zh-CN" w:bidi="ar"/>
        </w:rPr>
        <w:t xml:space="preserve"> 海口市人民政府办公厅 </w:t>
      </w:r>
      <w:r>
        <w:rPr>
          <w:rFonts w:hint="eastAsia" w:ascii="宋体" w:hAnsi="宋体" w:eastAsia="宋体" w:cs="宋体"/>
          <w:kern w:val="2"/>
          <w:sz w:val="24"/>
          <w:szCs w:val="24"/>
          <w:lang w:val="en-US" w:eastAsia="zh-CN" w:bidi="ar"/>
        </w:rPr>
        <w:t>关于印发《海口市三江农场发展控股有限公司组建方案》的通知</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（海办发〔</w:t>
      </w:r>
      <w:r>
        <w:rPr>
          <w:rFonts w:hint="default" w:ascii="Times New Roman" w:hAnsi="Times New Roman" w:eastAsia="宋体" w:cs="Times New Roman"/>
          <w:kern w:val="2"/>
          <w:sz w:val="24"/>
          <w:szCs w:val="24"/>
          <w:lang w:val="en-US" w:eastAsia="zh-CN" w:bidi="ar"/>
        </w:rPr>
        <w:t>2018</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42 </w:t>
      </w:r>
      <w:r>
        <w:rPr>
          <w:rFonts w:hint="eastAsia" w:ascii="宋体" w:hAnsi="宋体" w:eastAsia="宋体" w:cs="宋体"/>
          <w:kern w:val="2"/>
          <w:sz w:val="24"/>
          <w:szCs w:val="24"/>
          <w:lang w:val="en-US" w:eastAsia="zh-CN" w:bidi="ar"/>
        </w:rPr>
        <w:t>号）要求，本公司聘请海南瑞寰土地房地产资产评估咨询有限公司对原三江农场的</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宗土地进行评估，评估价值合计</w:t>
      </w:r>
      <w:r>
        <w:rPr>
          <w:rFonts w:hint="default" w:ascii="Times New Roman" w:hAnsi="Times New Roman" w:eastAsia="宋体" w:cs="Times New Roman"/>
          <w:kern w:val="2"/>
          <w:sz w:val="24"/>
          <w:szCs w:val="24"/>
          <w:lang w:val="en-US" w:eastAsia="zh-CN" w:bidi="ar"/>
        </w:rPr>
        <w:t>971,157,717.06</w:t>
      </w:r>
      <w:r>
        <w:rPr>
          <w:rFonts w:hint="eastAsia" w:ascii="宋体" w:hAnsi="宋体" w:eastAsia="宋体" w:cs="宋体"/>
          <w:kern w:val="2"/>
          <w:sz w:val="24"/>
          <w:szCs w:val="24"/>
          <w:lang w:val="en-US" w:eastAsia="zh-CN" w:bidi="ar"/>
        </w:rPr>
        <w:t>元。土地评估信息已备案海口市国资委。评估入账土地证书没有反映土地使用年限，本公司暂不进行摊销。房地土地评估情况详见下表：</w:t>
      </w:r>
    </w:p>
    <w:tbl>
      <w:tblPr>
        <w:tblStyle w:val="5"/>
        <w:tblW w:w="5000" w:type="pct"/>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359"/>
        <w:gridCol w:w="744"/>
        <w:gridCol w:w="940"/>
        <w:gridCol w:w="770"/>
        <w:gridCol w:w="1160"/>
        <w:gridCol w:w="607"/>
        <w:gridCol w:w="485"/>
        <w:gridCol w:w="1007"/>
        <w:gridCol w:w="900"/>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331" w:hRule="atLeast"/>
        </w:trPr>
        <w:tc>
          <w:tcPr>
            <w:tcW w:w="359"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序号</w:t>
            </w:r>
          </w:p>
        </w:tc>
        <w:tc>
          <w:tcPr>
            <w:tcW w:w="744"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土地证号</w:t>
            </w:r>
          </w:p>
        </w:tc>
        <w:tc>
          <w:tcPr>
            <w:tcW w:w="940"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报告文号</w:t>
            </w:r>
          </w:p>
        </w:tc>
        <w:tc>
          <w:tcPr>
            <w:tcW w:w="770"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坐落</w:t>
            </w:r>
          </w:p>
        </w:tc>
        <w:tc>
          <w:tcPr>
            <w:tcW w:w="1160"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面积（itf）</w:t>
            </w:r>
          </w:p>
        </w:tc>
        <w:tc>
          <w:tcPr>
            <w:tcW w:w="607"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土地用途</w:t>
            </w:r>
          </w:p>
        </w:tc>
        <w:tc>
          <w:tcPr>
            <w:tcW w:w="485" w:type="dxa"/>
            <w:vMerge w:val="restart"/>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容积率</w:t>
            </w:r>
          </w:p>
        </w:tc>
        <w:tc>
          <w:tcPr>
            <w:tcW w:w="1907" w:type="dxa"/>
            <w:gridSpan w:val="2"/>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评估单价</w:t>
            </w:r>
          </w:p>
        </w:tc>
        <w:tc>
          <w:tcPr>
            <w:tcW w:w="1354" w:type="dxa"/>
            <w:vMerge w:val="restart"/>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评估总价（万元）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244" w:hRule="atLeast"/>
        </w:trPr>
        <w:tc>
          <w:tcPr>
            <w:tcW w:w="359"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744"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940"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770"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1160"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607"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485"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元/武</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b/>
                <w:bCs/>
                <w:color w:val="000000" w:themeColor="text1"/>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万元/亩</w:t>
            </w:r>
          </w:p>
        </w:tc>
        <w:tc>
          <w:tcPr>
            <w:tcW w:w="1354" w:type="dxa"/>
            <w:vMerge w:val="continue"/>
            <w:tcBorders>
              <w:top w:val="single" w:color="auto" w:sz="4" w:space="0"/>
              <w:left w:val="single" w:color="auto" w:sz="4" w:space="0"/>
              <w:bottom w:val="nil"/>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681" w:hRule="atLeast"/>
        </w:trPr>
        <w:tc>
          <w:tcPr>
            <w:tcW w:w="359"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1</w:t>
            </w:r>
          </w:p>
        </w:tc>
        <w:tc>
          <w:tcPr>
            <w:tcW w:w="744"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琼（2021）海口市不钥产权第0288662号</w:t>
            </w:r>
          </w:p>
        </w:tc>
        <w:tc>
          <w:tcPr>
            <w:tcW w:w="94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（2021）（估）字第1101号</w:t>
            </w:r>
          </w:p>
        </w:tc>
        <w:tc>
          <w:tcPr>
            <w:tcW w:w="77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w:t>
            </w:r>
          </w:p>
        </w:tc>
        <w:tc>
          <w:tcPr>
            <w:tcW w:w="116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4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23,458.70</w:t>
            </w:r>
          </w:p>
        </w:tc>
        <w:tc>
          <w:tcPr>
            <w:tcW w:w="6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2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1,846.00</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1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123.07</w:t>
            </w:r>
          </w:p>
        </w:tc>
        <w:tc>
          <w:tcPr>
            <w:tcW w:w="1354" w:type="dxa"/>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4,330.48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366" w:hRule="atLeast"/>
        </w:trPr>
        <w:tc>
          <w:tcPr>
            <w:tcW w:w="359"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2</w:t>
            </w:r>
          </w:p>
        </w:tc>
        <w:tc>
          <w:tcPr>
            <w:tcW w:w="744"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琼（2021）海口市不动产权第0288455号</w:t>
            </w:r>
          </w:p>
        </w:tc>
        <w:tc>
          <w:tcPr>
            <w:tcW w:w="94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40" w:afterAutospacing="0" w:line="245"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w:t>
            </w:r>
          </w:p>
          <w:p>
            <w:pPr>
              <w:pStyle w:val="11"/>
              <w:keepNext w:val="0"/>
              <w:keepLines w:val="0"/>
              <w:widowControl w:val="0"/>
              <w:suppressLineNumbers w:val="0"/>
              <w:spacing w:before="0" w:beforeAutospacing="0" w:after="0" w:afterAutospacing="0" w:line="256" w:lineRule="auto"/>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1102号</w:t>
            </w:r>
          </w:p>
        </w:tc>
        <w:tc>
          <w:tcPr>
            <w:tcW w:w="77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7"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海口市美兰区三江镇三江农场场部东南侧</w:t>
            </w:r>
          </w:p>
        </w:tc>
        <w:tc>
          <w:tcPr>
            <w:tcW w:w="116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2,458.69</w:t>
            </w:r>
          </w:p>
        </w:tc>
        <w:tc>
          <w:tcPr>
            <w:tcW w:w="6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2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1,700.00</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1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113.33</w:t>
            </w:r>
          </w:p>
        </w:tc>
        <w:tc>
          <w:tcPr>
            <w:tcW w:w="1354" w:type="dxa"/>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60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417.98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56" w:hRule="atLeast"/>
        </w:trPr>
        <w:tc>
          <w:tcPr>
            <w:tcW w:w="359"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3</w:t>
            </w:r>
          </w:p>
        </w:tc>
        <w:tc>
          <w:tcPr>
            <w:tcW w:w="744"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81"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琼（2021）海口市不动产权第0418252号</w:t>
            </w:r>
          </w:p>
        </w:tc>
        <w:tc>
          <w:tcPr>
            <w:tcW w:w="94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40" w:afterAutospacing="0" w:line="238"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w:t>
            </w:r>
          </w:p>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1103号</w:t>
            </w:r>
          </w:p>
        </w:tc>
        <w:tc>
          <w:tcPr>
            <w:tcW w:w="77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海口市美兰区三江镇三江农场S212省 道南侧</w:t>
            </w:r>
          </w:p>
        </w:tc>
        <w:tc>
          <w:tcPr>
            <w:tcW w:w="116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3,012.96</w:t>
            </w:r>
          </w:p>
        </w:tc>
        <w:tc>
          <w:tcPr>
            <w:tcW w:w="6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2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1,766.00</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1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117.73</w:t>
            </w:r>
          </w:p>
        </w:tc>
        <w:tc>
          <w:tcPr>
            <w:tcW w:w="1354" w:type="dxa"/>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60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532.09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14" w:hRule="atLeast"/>
        </w:trPr>
        <w:tc>
          <w:tcPr>
            <w:tcW w:w="359"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4</w:t>
            </w:r>
          </w:p>
        </w:tc>
        <w:tc>
          <w:tcPr>
            <w:tcW w:w="744"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琼（2021）海口市不动产权第0288494号</w:t>
            </w:r>
          </w:p>
        </w:tc>
        <w:tc>
          <w:tcPr>
            <w:tcW w:w="94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56"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（2021）（估）字第1104号</w:t>
            </w:r>
          </w:p>
        </w:tc>
        <w:tc>
          <w:tcPr>
            <w:tcW w:w="77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w:t>
            </w:r>
          </w:p>
        </w:tc>
        <w:tc>
          <w:tcPr>
            <w:tcW w:w="116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4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50,788.11</w:t>
            </w:r>
          </w:p>
        </w:tc>
        <w:tc>
          <w:tcPr>
            <w:tcW w:w="6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2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1,894.00</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1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126.27</w:t>
            </w:r>
          </w:p>
        </w:tc>
        <w:tc>
          <w:tcPr>
            <w:tcW w:w="1354" w:type="dxa"/>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9,619.27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94" w:hRule="atLeast"/>
        </w:trPr>
        <w:tc>
          <w:tcPr>
            <w:tcW w:w="359"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5</w:t>
            </w:r>
          </w:p>
        </w:tc>
        <w:tc>
          <w:tcPr>
            <w:tcW w:w="744"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 动产权第0289807号</w:t>
            </w:r>
          </w:p>
        </w:tc>
        <w:tc>
          <w:tcPr>
            <w:tcW w:w="94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w:t>
            </w:r>
          </w:p>
          <w:p>
            <w:pPr>
              <w:pStyle w:val="11"/>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（2021）（估）字第1105号</w:t>
            </w:r>
          </w:p>
        </w:tc>
        <w:tc>
          <w:tcPr>
            <w:tcW w:w="77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7"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海口市美兰区三江镇三江农场S212省 道南侧</w:t>
            </w:r>
          </w:p>
        </w:tc>
        <w:tc>
          <w:tcPr>
            <w:tcW w:w="116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4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13,054.40</w:t>
            </w:r>
          </w:p>
        </w:tc>
        <w:tc>
          <w:tcPr>
            <w:tcW w:w="6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2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1,836.00</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1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122.40</w:t>
            </w:r>
          </w:p>
        </w:tc>
        <w:tc>
          <w:tcPr>
            <w:tcW w:w="1354" w:type="dxa"/>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2,396.79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2096" w:hRule="atLeast"/>
        </w:trPr>
        <w:tc>
          <w:tcPr>
            <w:tcW w:w="359"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6</w:t>
            </w:r>
          </w:p>
        </w:tc>
        <w:tc>
          <w:tcPr>
            <w:tcW w:w="744" w:type="dxa"/>
            <w:tcBorders>
              <w:top w:val="single" w:color="auto" w:sz="4" w:space="0"/>
              <w:left w:val="single" w:color="auto" w:sz="4" w:space="0"/>
              <w:bottom w:val="nil"/>
              <w:right w:val="nil"/>
            </w:tcBorders>
            <w:shd w:val="clear" w:color="auto" w:fill="FFFFFF"/>
            <w:vAlign w:val="center"/>
          </w:tcPr>
          <w:p>
            <w:pPr>
              <w:pStyle w:val="12"/>
              <w:widowControl/>
              <w:spacing w:before="0" w:beforeAutospacing="1" w:afterLines="50" w:afterAutospacing="0"/>
              <w:ind w:right="0"/>
              <w:jc w:val="center"/>
              <w:rPr>
                <w:rFonts w:hint="eastAsia" w:ascii="Times New Roman"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琼（2021）海口市不动产权第0288427号</w:t>
            </w:r>
          </w:p>
        </w:tc>
        <w:tc>
          <w:tcPr>
            <w:tcW w:w="94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（2021）（估）字第1106号</w:t>
            </w:r>
          </w:p>
        </w:tc>
        <w:tc>
          <w:tcPr>
            <w:tcW w:w="77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line="277"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海口市美兰区三江镇三江农场S212省 道东南侧（农场场</w:t>
            </w:r>
          </w:p>
        </w:tc>
        <w:tc>
          <w:tcPr>
            <w:tcW w:w="116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428,453.88</w:t>
            </w:r>
          </w:p>
        </w:tc>
        <w:tc>
          <w:tcPr>
            <w:tcW w:w="6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0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综合用地</w:t>
            </w:r>
          </w:p>
        </w:tc>
        <w:tc>
          <w:tcPr>
            <w:tcW w:w="485"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2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1,821.00</w:t>
            </w:r>
          </w:p>
        </w:tc>
        <w:tc>
          <w:tcPr>
            <w:tcW w:w="900" w:type="dxa"/>
            <w:tcBorders>
              <w:top w:val="single" w:color="auto" w:sz="4" w:space="0"/>
              <w:left w:val="single" w:color="auto" w:sz="4" w:space="0"/>
              <w:bottom w:val="nil"/>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1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121.40</w:t>
            </w:r>
          </w:p>
        </w:tc>
        <w:tc>
          <w:tcPr>
            <w:tcW w:w="1354" w:type="dxa"/>
            <w:tcBorders>
              <w:top w:val="single" w:color="auto" w:sz="4" w:space="0"/>
              <w:left w:val="single" w:color="auto" w:sz="4" w:space="0"/>
              <w:bottom w:val="nil"/>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2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78,021.45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74" w:hRule="atLeast"/>
        </w:trPr>
        <w:tc>
          <w:tcPr>
            <w:tcW w:w="359"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7</w:t>
            </w:r>
          </w:p>
        </w:tc>
        <w:tc>
          <w:tcPr>
            <w:tcW w:w="744"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琼（2021）海口市不动产权第0288633号</w:t>
            </w:r>
          </w:p>
        </w:tc>
        <w:tc>
          <w:tcPr>
            <w:tcW w:w="94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56"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（2021）（估）字第1107号</w:t>
            </w:r>
          </w:p>
        </w:tc>
        <w:tc>
          <w:tcPr>
            <w:tcW w:w="77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海口市美兰区三江镇三江农场S212省 道北侧</w:t>
            </w:r>
          </w:p>
        </w:tc>
        <w:tc>
          <w:tcPr>
            <w:tcW w:w="116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4,062.24</w:t>
            </w:r>
          </w:p>
        </w:tc>
        <w:tc>
          <w:tcPr>
            <w:tcW w:w="607"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社会福利用地</w:t>
            </w:r>
          </w:p>
        </w:tc>
        <w:tc>
          <w:tcPr>
            <w:tcW w:w="485"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6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w:t>
            </w:r>
          </w:p>
        </w:tc>
        <w:tc>
          <w:tcPr>
            <w:tcW w:w="1007"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48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367.00</w:t>
            </w:r>
          </w:p>
        </w:tc>
        <w:tc>
          <w:tcPr>
            <w:tcW w:w="90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0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24.47</w:t>
            </w:r>
          </w:p>
        </w:tc>
        <w:tc>
          <w:tcPr>
            <w:tcW w:w="13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60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149.08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474" w:hRule="atLeast"/>
        </w:trPr>
        <w:tc>
          <w:tcPr>
            <w:tcW w:w="359"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8</w:t>
            </w:r>
          </w:p>
        </w:tc>
        <w:tc>
          <w:tcPr>
            <w:tcW w:w="744"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right="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kern w:val="2"/>
                <w:sz w:val="16"/>
                <w:szCs w:val="16"/>
                <w:highlight w:val="none"/>
                <w14:textFill>
                  <w14:solidFill>
                    <w14:schemeClr w14:val="tx1"/>
                  </w14:solidFill>
                </w14:textFill>
              </w:rPr>
              <w:t>琼（2021）海口市不动产权第0287617号</w:t>
            </w:r>
          </w:p>
        </w:tc>
        <w:tc>
          <w:tcPr>
            <w:tcW w:w="94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（海南）瑞寰 （2021）（估）字第1108号</w:t>
            </w:r>
          </w:p>
        </w:tc>
        <w:tc>
          <w:tcPr>
            <w:tcW w:w="77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海口市美兰区三江镇三江农场</w:t>
            </w:r>
          </w:p>
        </w:tc>
        <w:tc>
          <w:tcPr>
            <w:tcW w:w="116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240" w:firstLineChars="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52,739.54</w:t>
            </w:r>
          </w:p>
        </w:tc>
        <w:tc>
          <w:tcPr>
            <w:tcW w:w="607"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300" w:firstLineChars="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工业用地</w:t>
            </w:r>
          </w:p>
        </w:tc>
        <w:tc>
          <w:tcPr>
            <w:tcW w:w="485"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w:t>
            </w:r>
          </w:p>
        </w:tc>
        <w:tc>
          <w:tcPr>
            <w:tcW w:w="1007"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480" w:firstLineChars="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312.60</w:t>
            </w:r>
          </w:p>
        </w:tc>
        <w:tc>
          <w:tcPr>
            <w:tcW w:w="90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300"/>
              <w:jc w:val="center"/>
              <w:rPr>
                <w:rFonts w:hint="eastAsia" w:ascii="宋体" w:hAnsi="宋体" w:eastAsia="宋体" w:cs="宋体"/>
                <w:color w:val="000000" w:themeColor="text1"/>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20.84</w:t>
            </w:r>
          </w:p>
        </w:tc>
        <w:tc>
          <w:tcPr>
            <w:tcW w:w="13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600"/>
              <w:jc w:val="center"/>
              <w:rPr>
                <w:rFonts w:hint="eastAsia" w:ascii="宋体" w:hAnsi="宋体" w:eastAsia="宋体" w:cs="宋体"/>
                <w:color w:val="000000" w:themeColor="text1"/>
                <w:spacing w:val="0"/>
                <w:kern w:val="2"/>
                <w:sz w:val="16"/>
                <w:szCs w:val="16"/>
                <w:highlight w:val="none"/>
                <w14:textFill>
                  <w14:solidFill>
                    <w14:schemeClr w14:val="tx1"/>
                  </w14:solidFill>
                </w14:textFill>
              </w:rPr>
            </w:pPr>
            <w:r>
              <w:rPr>
                <w:rFonts w:hint="eastAsia" w:ascii="宋体" w:hAnsi="宋体" w:eastAsia="宋体" w:cs="宋体"/>
                <w:color w:val="000000" w:themeColor="text1"/>
                <w:spacing w:val="0"/>
                <w:kern w:val="2"/>
                <w:sz w:val="16"/>
                <w:szCs w:val="16"/>
                <w:highlight w:val="none"/>
                <w14:textFill>
                  <w14:solidFill>
                    <w14:schemeClr w14:val="tx1"/>
                  </w14:solidFill>
                </w14:textFill>
              </w:rPr>
              <w:t>1,648.64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14" w:hRule="atLeast"/>
        </w:trPr>
        <w:tc>
          <w:tcPr>
            <w:tcW w:w="359"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right="0" w:firstLine="240"/>
              <w:jc w:val="center"/>
              <w:rPr>
                <w:rFonts w:hint="eastAsia" w:ascii="宋体" w:hAnsi="宋体" w:eastAsia="宋体" w:cs="宋体"/>
                <w:color w:val="000000" w:themeColor="text1"/>
                <w:spacing w:val="0"/>
                <w:kern w:val="2"/>
                <w:sz w:val="16"/>
                <w:szCs w:val="16"/>
                <w:highlight w:val="none"/>
                <w14:textFill>
                  <w14:solidFill>
                    <w14:schemeClr w14:val="tx1"/>
                  </w14:solidFill>
                </w14:textFill>
              </w:rPr>
            </w:pPr>
          </w:p>
        </w:tc>
        <w:tc>
          <w:tcPr>
            <w:tcW w:w="744"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合计</w:t>
            </w:r>
          </w:p>
        </w:tc>
        <w:tc>
          <w:tcPr>
            <w:tcW w:w="94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p>
        </w:tc>
        <w:tc>
          <w:tcPr>
            <w:tcW w:w="77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p>
        </w:tc>
        <w:tc>
          <w:tcPr>
            <w:tcW w:w="116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24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578,028.52</w:t>
            </w:r>
          </w:p>
        </w:tc>
        <w:tc>
          <w:tcPr>
            <w:tcW w:w="607"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30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p>
        </w:tc>
        <w:tc>
          <w:tcPr>
            <w:tcW w:w="485"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p>
        </w:tc>
        <w:tc>
          <w:tcPr>
            <w:tcW w:w="1007"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0" w:rightChars="0" w:firstLine="48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nil"/>
            </w:tcBorders>
            <w:shd w:val="clear" w:color="auto" w:fill="FFFFFF"/>
            <w:vAlign w:val="center"/>
          </w:tcPr>
          <w:p>
            <w:pPr>
              <w:pStyle w:val="11"/>
              <w:keepNext w:val="0"/>
              <w:keepLines w:val="0"/>
              <w:widowControl w:val="0"/>
              <w:suppressLineNumbers w:val="0"/>
              <w:spacing w:before="0" w:beforeAutospacing="0" w:after="0" w:afterAutospacing="0"/>
              <w:ind w:left="0" w:leftChars="0" w:right="420" w:rightChars="0" w:firstLine="0" w:firstLineChars="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p>
        </w:tc>
        <w:tc>
          <w:tcPr>
            <w:tcW w:w="13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uppressLineNumbers w:val="0"/>
              <w:spacing w:before="0" w:beforeAutospacing="0" w:after="0" w:afterAutospacing="0"/>
              <w:ind w:left="0" w:right="0" w:firstLine="600"/>
              <w:jc w:val="center"/>
              <w:rPr>
                <w:rFonts w:hint="eastAsia" w:ascii="宋体" w:hAnsi="宋体" w:eastAsia="宋体" w:cs="宋体"/>
                <w:b/>
                <w:bCs/>
                <w:color w:val="000000" w:themeColor="text1"/>
                <w:spacing w:val="0"/>
                <w:kern w:val="2"/>
                <w:sz w:val="16"/>
                <w:szCs w:val="16"/>
                <w:highlight w:val="none"/>
                <w14:textFill>
                  <w14:solidFill>
                    <w14:schemeClr w14:val="tx1"/>
                  </w14:solidFill>
                </w14:textFill>
              </w:rPr>
            </w:pPr>
            <w:r>
              <w:rPr>
                <w:rFonts w:hint="eastAsia" w:ascii="宋体" w:hAnsi="宋体" w:eastAsia="宋体" w:cs="宋体"/>
                <w:b/>
                <w:bCs/>
                <w:color w:val="000000" w:themeColor="text1"/>
                <w:spacing w:val="0"/>
                <w:kern w:val="2"/>
                <w:sz w:val="16"/>
                <w:szCs w:val="16"/>
                <w:highlight w:val="none"/>
                <w14:textFill>
                  <w14:solidFill>
                    <w14:schemeClr w14:val="tx1"/>
                  </w14:solidFill>
                </w14:textFill>
              </w:rPr>
              <w:t>97,115.78</w:t>
            </w:r>
          </w:p>
        </w:tc>
      </w:tr>
    </w:tbl>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kern w:val="2"/>
          <w:sz w:val="24"/>
          <w:szCs w:val="24"/>
          <w:lang w:val="en-US" w:eastAsia="zh-CN" w:bidi="ar"/>
        </w:rPr>
      </w:pPr>
    </w:p>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（十）长期待摊费用</w:t>
      </w:r>
    </w:p>
    <w:tbl>
      <w:tblPr>
        <w:tblStyle w:val="5"/>
        <w:tblW w:w="8544"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Layout w:type="autofit"/>
        <w:tblCellMar>
          <w:top w:w="0" w:type="dxa"/>
          <w:left w:w="0" w:type="dxa"/>
          <w:bottom w:w="0" w:type="dxa"/>
          <w:right w:w="0" w:type="dxa"/>
        </w:tblCellMar>
      </w:tblPr>
      <w:tblGrid>
        <w:gridCol w:w="2715"/>
        <w:gridCol w:w="1463"/>
        <w:gridCol w:w="1463"/>
        <w:gridCol w:w="1440"/>
        <w:gridCol w:w="146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46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c>
          <w:tcPr>
            <w:tcW w:w="146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本期增加额</w:t>
            </w:r>
          </w:p>
        </w:tc>
        <w:tc>
          <w:tcPr>
            <w:tcW w:w="1440" w:type="dxa"/>
            <w:tcBorders>
              <w:tl2br w:val="nil"/>
              <w:tr2bl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本期减少额</w:t>
            </w:r>
          </w:p>
        </w:tc>
        <w:tc>
          <w:tcPr>
            <w:tcW w:w="1463" w:type="dxa"/>
            <w:tcBorders>
              <w:tl2br w:val="nil"/>
              <w:tr2bl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line="360" w:lineRule="exact"/>
              <w:ind w:left="0" w:right="420" w:rightChars="200"/>
              <w:jc w:val="left"/>
              <w:rPr>
                <w:rFonts w:hint="eastAsia" w:ascii="Times New Roman" w:hAnsi="宋体" w:eastAsia="宋体" w:cs="宋体"/>
                <w:kern w:val="2"/>
                <w:sz w:val="21"/>
                <w:szCs w:val="21"/>
              </w:rPr>
            </w:pPr>
            <w:r>
              <w:rPr>
                <w:rFonts w:hint="eastAsia" w:ascii="Times New Roman" w:hAnsi="宋体" w:eastAsia="宋体"/>
                <w:sz w:val="21"/>
                <w:szCs w:val="21"/>
                <w:lang w:val="en-US" w:eastAsia="zh-CN"/>
              </w:rPr>
              <w:t>开办费</w:t>
            </w:r>
          </w:p>
        </w:tc>
        <w:tc>
          <w:tcPr>
            <w:tcW w:w="1463" w:type="dxa"/>
            <w:tcBorders>
              <w:tl2br w:val="nil"/>
              <w:tr2bl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 xml:space="preserve">46,055.82 </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u w:val="none"/>
                <w:lang w:val="en-US" w:eastAsia="zh-CN" w:bidi="ar"/>
              </w:rPr>
              <w:t>-</w:t>
            </w:r>
          </w:p>
        </w:tc>
        <w:tc>
          <w:tcPr>
            <w:tcW w:w="144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46,055.82</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line="360" w:lineRule="exact"/>
              <w:ind w:left="0" w:right="420" w:rightChars="200"/>
              <w:jc w:val="left"/>
              <w:rPr>
                <w:rFonts w:hint="eastAsia" w:ascii="Times New Roman" w:hAnsi="宋体" w:eastAsia="宋体" w:cs="宋体"/>
                <w:kern w:val="2"/>
                <w:sz w:val="21"/>
                <w:szCs w:val="21"/>
              </w:rPr>
            </w:pPr>
            <w:r>
              <w:rPr>
                <w:rFonts w:hint="eastAsia" w:ascii="Times New Roman" w:hAnsi="宋体" w:eastAsia="宋体"/>
                <w:sz w:val="21"/>
                <w:szCs w:val="21"/>
                <w:lang w:val="en-US" w:eastAsia="zh-CN"/>
              </w:rPr>
              <w:t>土地租赁费</w:t>
            </w:r>
          </w:p>
        </w:tc>
        <w:tc>
          <w:tcPr>
            <w:tcW w:w="1463" w:type="dxa"/>
            <w:tcBorders>
              <w:tl2br w:val="nil"/>
              <w:tr2bl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 xml:space="preserve">593,150.25 </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-481,207.54</w:t>
            </w:r>
          </w:p>
        </w:tc>
        <w:tc>
          <w:tcPr>
            <w:tcW w:w="144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75,758.21</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36,184.50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noWrap/>
            <w:tcMar>
              <w:top w:w="15" w:type="dxa"/>
              <w:left w:w="15" w:type="dxa"/>
              <w:right w:w="15" w:type="dxa"/>
            </w:tcMar>
            <w:vAlign w:val="top"/>
          </w:tcPr>
          <w:p>
            <w:pPr>
              <w:keepNext w:val="0"/>
              <w:keepLines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default" w:ascii="Arial" w:hAnsi="Arial"/>
                <w:color w:val="000000"/>
                <w:sz w:val="20"/>
                <w:szCs w:val="24"/>
              </w:rPr>
              <w:t>土地机耕费</w:t>
            </w:r>
          </w:p>
        </w:tc>
        <w:tc>
          <w:tcPr>
            <w:tcW w:w="1463" w:type="dxa"/>
            <w:tcBorders>
              <w:tl2br w:val="nil"/>
              <w:tr2bl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 xml:space="preserve">37,051.25 </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u w:val="none"/>
                <w:lang w:val="en-US" w:eastAsia="zh-CN" w:bidi="ar"/>
              </w:rPr>
              <w:t>-</w:t>
            </w:r>
          </w:p>
        </w:tc>
        <w:tc>
          <w:tcPr>
            <w:tcW w:w="144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17,784.60</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19,266.65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noWrap/>
            <w:tcMar>
              <w:top w:w="15" w:type="dxa"/>
              <w:left w:w="15" w:type="dxa"/>
              <w:right w:w="15" w:type="dxa"/>
            </w:tcMar>
            <w:vAlign w:val="top"/>
          </w:tcPr>
          <w:p>
            <w:pPr>
              <w:keepNext w:val="0"/>
              <w:keepLines w:val="0"/>
              <w:suppressLineNumbers w:val="0"/>
              <w:spacing w:before="0" w:beforeLines="0" w:beforeAutospacing="0" w:after="0" w:afterLines="0" w:afterAutospacing="0"/>
              <w:ind w:left="0" w:right="0"/>
              <w:jc w:val="both"/>
              <w:rPr>
                <w:rFonts w:hint="eastAsia" w:ascii="Arial" w:hAnsi="Arial" w:eastAsia="宋体" w:cs="Times New Roman"/>
                <w:color w:val="000000"/>
                <w:kern w:val="2"/>
                <w:sz w:val="20"/>
                <w:szCs w:val="20"/>
              </w:rPr>
            </w:pPr>
            <w:r>
              <w:rPr>
                <w:rFonts w:hint="default" w:ascii="Arial" w:hAnsi="Arial" w:eastAsia="宋体" w:cs="Times New Roman"/>
                <w:color w:val="000000"/>
                <w:sz w:val="20"/>
                <w:szCs w:val="24"/>
              </w:rPr>
              <w:t>房屋租赁费</w:t>
            </w:r>
          </w:p>
        </w:tc>
        <w:tc>
          <w:tcPr>
            <w:tcW w:w="1463" w:type="dxa"/>
            <w:tcBorders>
              <w:tl2br w:val="nil"/>
              <w:tr2bl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 xml:space="preserve">600.00 </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u w:val="none"/>
                <w:lang w:val="en-US" w:eastAsia="zh-CN" w:bidi="ar"/>
              </w:rPr>
              <w:t>-</w:t>
            </w:r>
          </w:p>
        </w:tc>
        <w:tc>
          <w:tcPr>
            <w:tcW w:w="144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default" w:ascii="宋体" w:hAnsi="宋体" w:eastAsia="宋体" w:cs="宋体"/>
                <w:i w:val="0"/>
                <w:color w:val="000000"/>
                <w:kern w:val="0"/>
                <w:sz w:val="22"/>
                <w:szCs w:val="22"/>
                <w:u w:val="none"/>
                <w:lang w:val="en-US" w:eastAsia="zh-CN" w:bidi="ar"/>
              </w:rPr>
              <w:t>600.00</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noWrap/>
            <w:tcMar>
              <w:top w:w="15" w:type="dxa"/>
              <w:left w:w="15" w:type="dxa"/>
              <w:right w:w="15" w:type="dxa"/>
            </w:tcMar>
            <w:vAlign w:val="top"/>
          </w:tcPr>
          <w:p>
            <w:pPr>
              <w:keepNext w:val="0"/>
              <w:keepLines w:val="0"/>
              <w:suppressLineNumbers w:val="0"/>
              <w:spacing w:before="0" w:beforeLines="0" w:beforeAutospacing="0" w:after="0" w:afterLines="0" w:afterAutospacing="0"/>
              <w:ind w:left="0" w:right="0"/>
              <w:jc w:val="both"/>
              <w:rPr>
                <w:rFonts w:hint="eastAsia" w:ascii="宋体" w:hAnsi="宋体" w:eastAsia="宋体" w:cs="宋体"/>
                <w:color w:val="000000"/>
                <w:kern w:val="2"/>
                <w:sz w:val="20"/>
                <w:szCs w:val="20"/>
                <w:lang w:val="en-US" w:eastAsia="zh-CN" w:bidi="ar"/>
              </w:rPr>
            </w:pPr>
            <w:r>
              <w:rPr>
                <w:rFonts w:hint="default" w:ascii="Arial" w:hAnsi="Arial" w:eastAsia="宋体" w:cs="Times New Roman"/>
                <w:color w:val="000000"/>
                <w:sz w:val="20"/>
                <w:szCs w:val="24"/>
              </w:rPr>
              <w:t>土地流转费</w:t>
            </w:r>
          </w:p>
        </w:tc>
        <w:tc>
          <w:tcPr>
            <w:tcW w:w="1463" w:type="dxa"/>
            <w:tcBorders>
              <w:tl2br w:val="nil"/>
              <w:tr2bl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lang w:val="en-US" w:eastAsia="zh-CN" w:bidi="ar"/>
              </w:rPr>
            </w:pPr>
            <w:r>
              <w:rPr>
                <w:rFonts w:hint="default" w:ascii="宋体" w:hAnsi="宋体" w:eastAsia="宋体" w:cs="宋体"/>
                <w:i w:val="0"/>
                <w:color w:val="000000"/>
                <w:kern w:val="0"/>
                <w:sz w:val="22"/>
                <w:szCs w:val="22"/>
                <w:u w:val="none"/>
                <w:lang w:val="en-US" w:eastAsia="zh-CN" w:bidi="ar"/>
              </w:rPr>
              <w:t>1,460,335.54</w:t>
            </w:r>
          </w:p>
        </w:tc>
        <w:tc>
          <w:tcPr>
            <w:tcW w:w="144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lang w:val="en-US" w:eastAsia="zh-CN" w:bidi="ar"/>
              </w:rPr>
            </w:pPr>
            <w:r>
              <w:rPr>
                <w:rFonts w:hint="default" w:ascii="宋体" w:hAnsi="宋体" w:eastAsia="宋体" w:cs="宋体"/>
                <w:i w:val="0"/>
                <w:color w:val="000000"/>
                <w:kern w:val="0"/>
                <w:sz w:val="22"/>
                <w:szCs w:val="22"/>
                <w:u w:val="none"/>
                <w:lang w:val="en-US" w:eastAsia="zh-CN" w:bidi="ar"/>
              </w:rPr>
              <w:t>321,154.32</w:t>
            </w:r>
          </w:p>
        </w:tc>
        <w:tc>
          <w:tcPr>
            <w:tcW w:w="1463"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lang w:val="en-US" w:eastAsia="zh-CN" w:bidi="ar"/>
              </w:rPr>
            </w:pPr>
            <w:r>
              <w:rPr>
                <w:rFonts w:hint="default" w:ascii="宋体" w:hAnsi="宋体" w:eastAsia="宋体" w:cs="宋体"/>
                <w:i w:val="0"/>
                <w:color w:val="000000"/>
                <w:kern w:val="0"/>
                <w:sz w:val="22"/>
                <w:szCs w:val="22"/>
                <w:u w:val="none"/>
                <w:lang w:val="en-US" w:eastAsia="zh-CN" w:bidi="ar"/>
              </w:rPr>
              <w:t>1,139,181.22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shd w:val="clear" w:color="auto" w:fill="auto"/>
          <w:tblCellMar>
            <w:top w:w="0" w:type="dxa"/>
            <w:left w:w="0" w:type="dxa"/>
            <w:bottom w:w="0" w:type="dxa"/>
            <w:right w:w="0" w:type="dxa"/>
          </w:tblCellMar>
        </w:tblPrEx>
        <w:trPr>
          <w:trHeight w:val="285" w:hRule="atLeast"/>
        </w:trPr>
        <w:tc>
          <w:tcPr>
            <w:tcW w:w="2715" w:type="dxa"/>
            <w:tcBorders>
              <w:tl2br w:val="nil"/>
              <w:tr2bl w:val="nil"/>
            </w:tcBorders>
            <w:shd w:val="clear" w:color="auto" w:fill="auto"/>
            <w:vAlign w:val="bottom"/>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cs="Times New Roman"/>
                <w:b/>
                <w:bCs/>
                <w:kern w:val="0"/>
                <w:sz w:val="21"/>
                <w:szCs w:val="21"/>
              </w:rPr>
            </w:pPr>
            <w:r>
              <w:rPr>
                <w:rFonts w:hint="default"/>
                <w:b/>
                <w:bCs/>
                <w:kern w:val="0"/>
                <w:szCs w:val="21"/>
              </w:rPr>
              <w:t>合计</w:t>
            </w:r>
          </w:p>
        </w:tc>
        <w:tc>
          <w:tcPr>
            <w:tcW w:w="1463" w:type="dxa"/>
            <w:tcBorders>
              <w:tl2br w:val="nil"/>
              <w:tr2bl w:val="nil"/>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b/>
                <w:bCs w:val="0"/>
                <w:color w:val="000000"/>
                <w:kern w:val="2"/>
                <w:sz w:val="22"/>
                <w:szCs w:val="22"/>
              </w:rPr>
            </w:pPr>
            <w:r>
              <w:rPr>
                <w:rFonts w:hint="eastAsia" w:ascii="宋体" w:hAnsi="宋体" w:eastAsia="宋体" w:cs="宋体"/>
                <w:b/>
                <w:bCs/>
                <w:i w:val="0"/>
                <w:color w:val="000000"/>
                <w:kern w:val="0"/>
                <w:sz w:val="22"/>
                <w:szCs w:val="22"/>
                <w:u w:val="none"/>
                <w:lang w:val="en-US" w:eastAsia="zh-CN" w:bidi="ar"/>
              </w:rPr>
              <w:t xml:space="preserve">676,857.32 </w:t>
            </w:r>
          </w:p>
        </w:tc>
        <w:tc>
          <w:tcPr>
            <w:tcW w:w="1463" w:type="dxa"/>
            <w:tcBorders>
              <w:tl2br w:val="nil"/>
              <w:tr2bl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b/>
                <w:bCs w:val="0"/>
                <w:color w:val="000000"/>
                <w:kern w:val="2"/>
                <w:sz w:val="22"/>
                <w:szCs w:val="22"/>
              </w:rPr>
            </w:pPr>
            <w:r>
              <w:rPr>
                <w:rFonts w:hint="eastAsia" w:ascii="宋体" w:hAnsi="宋体" w:eastAsia="宋体" w:cs="宋体"/>
                <w:b/>
                <w:bCs/>
                <w:i w:val="0"/>
                <w:color w:val="000000"/>
                <w:kern w:val="0"/>
                <w:sz w:val="22"/>
                <w:szCs w:val="22"/>
                <w:u w:val="none"/>
                <w:lang w:val="en-US" w:eastAsia="zh-CN" w:bidi="ar"/>
              </w:rPr>
              <w:t>979,128.00</w:t>
            </w:r>
          </w:p>
        </w:tc>
        <w:tc>
          <w:tcPr>
            <w:tcW w:w="1440" w:type="dxa"/>
            <w:tcBorders>
              <w:tl2br w:val="nil"/>
              <w:tr2bl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b/>
                <w:bCs w:val="0"/>
                <w:color w:val="000000"/>
                <w:kern w:val="2"/>
                <w:sz w:val="22"/>
                <w:szCs w:val="22"/>
              </w:rPr>
            </w:pPr>
            <w:r>
              <w:rPr>
                <w:rFonts w:hint="eastAsia" w:ascii="宋体" w:hAnsi="宋体" w:eastAsia="宋体" w:cs="宋体"/>
                <w:b/>
                <w:bCs/>
                <w:i w:val="0"/>
                <w:color w:val="000000"/>
                <w:kern w:val="0"/>
                <w:sz w:val="22"/>
                <w:szCs w:val="22"/>
                <w:u w:val="none"/>
                <w:lang w:val="en-US" w:eastAsia="zh-CN" w:bidi="ar"/>
              </w:rPr>
              <w:t>461,352.95</w:t>
            </w:r>
          </w:p>
        </w:tc>
        <w:tc>
          <w:tcPr>
            <w:tcW w:w="1463" w:type="dxa"/>
            <w:tcBorders>
              <w:tl2br w:val="nil"/>
              <w:tr2bl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b/>
                <w:bCs w:val="0"/>
                <w:color w:val="000000"/>
                <w:kern w:val="2"/>
                <w:sz w:val="22"/>
                <w:szCs w:val="22"/>
              </w:rPr>
            </w:pPr>
            <w:r>
              <w:rPr>
                <w:rFonts w:hint="eastAsia" w:ascii="宋体" w:hAnsi="宋体" w:eastAsia="宋体" w:cs="宋体"/>
                <w:b/>
                <w:bCs/>
                <w:i w:val="0"/>
                <w:color w:val="000000"/>
                <w:kern w:val="0"/>
                <w:sz w:val="22"/>
                <w:szCs w:val="22"/>
                <w:u w:val="none"/>
                <w:lang w:val="en-US" w:eastAsia="zh-CN" w:bidi="ar"/>
              </w:rPr>
              <w:t>1,194,632.37</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（十一）应付账款</w:t>
      </w:r>
    </w:p>
    <w:p>
      <w:pPr>
        <w:keepNext w:val="0"/>
        <w:keepLines w:val="0"/>
        <w:widowControl/>
        <w:suppressLineNumbers w:val="0"/>
        <w:adjustRightInd w:val="0"/>
        <w:spacing w:before="0" w:beforeAutospacing="0" w:after="0" w:afterAutospacing="0" w:line="360" w:lineRule="auto"/>
        <w:ind w:left="480" w:right="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应付账款账龄分析</w:t>
      </w:r>
    </w:p>
    <w:tbl>
      <w:tblPr>
        <w:tblStyle w:val="5"/>
        <w:tblW w:w="86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87"/>
        <w:gridCol w:w="2887"/>
        <w:gridCol w:w="2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15" w:hRule="atLeast"/>
          <w:jc w:val="center"/>
        </w:trPr>
        <w:tc>
          <w:tcPr>
            <w:tcW w:w="2887"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账龄结构</w:t>
            </w:r>
          </w:p>
        </w:tc>
        <w:tc>
          <w:tcPr>
            <w:tcW w:w="2887" w:type="dxa"/>
            <w:tcBorders>
              <w:top w:val="single" w:color="auto" w:sz="12" w:space="0"/>
              <w:left w:val="nil"/>
              <w:bottom w:val="dotted" w:color="auto" w:sz="4"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2888" w:type="dxa"/>
            <w:tcBorders>
              <w:top w:val="single" w:color="auto" w:sz="12"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rPr>
                <w:rFonts w:hint="default" w:ascii="Times New Roman" w:hAnsi="Times New Roman" w:cs="Times New Roman"/>
                <w:kern w:val="0"/>
                <w:sz w:val="21"/>
                <w:szCs w:val="21"/>
              </w:rPr>
            </w:pPr>
            <w:r>
              <w:rPr>
                <w:rFonts w:hint="default" w:ascii="Times New Roman" w:hAnsi="Times New Roman" w:cs="Times New Roman" w:eastAsiaTheme="minorEastAsia"/>
                <w:kern w:val="0"/>
                <w:sz w:val="21"/>
                <w:szCs w:val="21"/>
                <w:lang w:val="en-US" w:eastAsia="zh-CN" w:bidi="ar"/>
              </w:rPr>
              <w:t>1</w:t>
            </w:r>
            <w:r>
              <w:rPr>
                <w:rFonts w:hint="eastAsia" w:ascii="宋体" w:hAnsi="宋体" w:eastAsia="宋体" w:cs="宋体"/>
                <w:kern w:val="0"/>
                <w:sz w:val="21"/>
                <w:szCs w:val="21"/>
                <w:lang w:val="en-US" w:eastAsia="zh-CN" w:bidi="ar"/>
              </w:rPr>
              <w:t>年以内</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lang w:val="en-US" w:eastAsia="zh-CN" w:bidi="ar"/>
              </w:rPr>
            </w:pPr>
            <w:r>
              <w:rPr>
                <w:rFonts w:hint="default" w:ascii="宋体" w:hAnsi="宋体" w:eastAsia="宋体" w:cs="宋体"/>
                <w:i w:val="0"/>
                <w:iCs w:val="0"/>
                <w:color w:val="000000"/>
                <w:kern w:val="0"/>
                <w:sz w:val="22"/>
                <w:szCs w:val="22"/>
                <w:lang w:val="en-US" w:eastAsia="zh-CN" w:bidi="ar"/>
              </w:rPr>
              <w:t>181,724.04</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2"/>
                <w:szCs w:val="22"/>
              </w:rPr>
            </w:pPr>
            <w:r>
              <w:rPr>
                <w:rFonts w:hint="eastAsia" w:ascii="宋体" w:hAnsi="宋体" w:eastAsia="宋体" w:cs="宋体"/>
                <w:i w:val="0"/>
                <w:iCs w:val="0"/>
                <w:color w:val="000000"/>
                <w:kern w:val="0"/>
                <w:sz w:val="22"/>
                <w:szCs w:val="22"/>
                <w:lang w:val="en-US" w:eastAsia="zh-CN" w:bidi="ar"/>
              </w:rPr>
              <w:t>400,317.75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kern w:val="0"/>
                <w:sz w:val="21"/>
                <w:szCs w:val="21"/>
                <w:lang w:val="en-US" w:eastAsia="zh-CN" w:bidi="ar"/>
              </w:rPr>
              <w:t>1-2年</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1,720.00</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 w:hRule="atLeast"/>
          <w:jc w:val="center"/>
        </w:trPr>
        <w:tc>
          <w:tcPr>
            <w:tcW w:w="2887" w:type="dxa"/>
            <w:tcBorders>
              <w:top w:val="dotted" w:color="auto" w:sz="4" w:space="0"/>
              <w:left w:val="nil"/>
              <w:bottom w:val="single" w:color="auto" w:sz="12"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2887" w:type="dxa"/>
            <w:tcBorders>
              <w:top w:val="dotted" w:color="auto" w:sz="4" w:space="0"/>
              <w:left w:val="nil"/>
              <w:bottom w:val="single" w:color="auto" w:sz="12"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fldChar w:fldCharType="begin"/>
            </w:r>
            <w:r>
              <w:rPr>
                <w:rFonts w:hint="eastAsia" w:ascii="宋体" w:hAnsi="宋体" w:eastAsia="宋体" w:cs="宋体"/>
                <w:i w:val="0"/>
                <w:iCs w:val="0"/>
                <w:color w:val="000000"/>
                <w:kern w:val="0"/>
                <w:sz w:val="22"/>
                <w:szCs w:val="22"/>
                <w:lang w:val="en-US" w:eastAsia="zh-CN" w:bidi="ar"/>
              </w:rPr>
              <w:instrText xml:space="preserve"> = sum(B2:B3) \* MERGEFORMAT </w:instrText>
            </w:r>
            <w:r>
              <w:rPr>
                <w:rFonts w:hint="eastAsia" w:ascii="宋体" w:hAnsi="宋体" w:eastAsia="宋体" w:cs="宋体"/>
                <w:i w:val="0"/>
                <w:iCs w:val="0"/>
                <w:color w:val="000000"/>
                <w:kern w:val="0"/>
                <w:sz w:val="22"/>
                <w:szCs w:val="22"/>
                <w:lang w:val="en-US" w:eastAsia="zh-CN" w:bidi="ar"/>
              </w:rPr>
              <w:fldChar w:fldCharType="separate"/>
            </w:r>
            <w:r>
              <w:rPr>
                <w:rFonts w:hint="eastAsia" w:ascii="宋体" w:hAnsi="宋体" w:eastAsia="宋体" w:cs="宋体"/>
                <w:i w:val="0"/>
                <w:iCs w:val="0"/>
                <w:color w:val="000000"/>
                <w:kern w:val="0"/>
                <w:sz w:val="22"/>
                <w:szCs w:val="22"/>
                <w:lang w:val="en-US" w:eastAsia="zh-CN" w:bidi="ar"/>
              </w:rPr>
              <w:t>183,444.04</w:t>
            </w:r>
            <w:r>
              <w:rPr>
                <w:rFonts w:hint="eastAsia" w:ascii="宋体" w:hAnsi="宋体" w:eastAsia="宋体" w:cs="宋体"/>
                <w:i w:val="0"/>
                <w:iCs w:val="0"/>
                <w:color w:val="000000"/>
                <w:kern w:val="0"/>
                <w:sz w:val="22"/>
                <w:szCs w:val="22"/>
                <w:lang w:val="en-US" w:eastAsia="zh-CN" w:bidi="ar"/>
              </w:rPr>
              <w:fldChar w:fldCharType="end"/>
            </w:r>
          </w:p>
        </w:tc>
        <w:tc>
          <w:tcPr>
            <w:tcW w:w="2888" w:type="dxa"/>
            <w:tcBorders>
              <w:top w:val="dotted" w:color="auto" w:sz="4" w:space="0"/>
              <w:left w:val="nil"/>
              <w:bottom w:val="single" w:color="auto" w:sz="12"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themeColor="text1"/>
                <w:kern w:val="2"/>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lang w:val="en-US" w:eastAsia="zh-CN" w:bidi="ar"/>
                <w14:textFill>
                  <w14:solidFill>
                    <w14:schemeClr w14:val="tx1"/>
                  </w14:solidFill>
                </w14:textFill>
              </w:rPr>
              <w:t>400,317.75</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应付账款单位明细如下：</w:t>
      </w:r>
    </w:p>
    <w:tbl>
      <w:tblPr>
        <w:tblStyle w:val="5"/>
        <w:tblW w:w="5234" w:type="pct"/>
        <w:tblInd w:w="-89"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3143"/>
        <w:gridCol w:w="2649"/>
        <w:gridCol w:w="290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807"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rPr>
            </w:pPr>
            <w:r>
              <w:rPr>
                <w:rFonts w:hint="eastAsia" w:ascii="宋体" w:hAnsi="宋体" w:eastAsia="宋体" w:cs="宋体"/>
                <w:kern w:val="0"/>
                <w:sz w:val="21"/>
                <w:szCs w:val="21"/>
                <w:lang w:val="en-US" w:eastAsia="zh-CN" w:bidi="ar"/>
              </w:rPr>
              <w:t>单位名称</w:t>
            </w:r>
          </w:p>
        </w:tc>
        <w:tc>
          <w:tcPr>
            <w:tcW w:w="1523"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c>
          <w:tcPr>
            <w:tcW w:w="1669"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海南瑞雨椰创科技开发有限公司</w:t>
            </w:r>
          </w:p>
        </w:tc>
        <w:tc>
          <w:tcPr>
            <w:tcW w:w="1523"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1,720.00</w:t>
            </w:r>
          </w:p>
        </w:tc>
        <w:tc>
          <w:tcPr>
            <w:tcW w:w="1669"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椰子苗费用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3143" w:type="dxa"/>
            <w:tcBorders>
              <w:top w:val="dotted" w:color="auto" w:sz="4" w:space="0"/>
              <w:left w:val="nil"/>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北京和君咨询有限公司</w:t>
            </w:r>
          </w:p>
        </w:tc>
        <w:tc>
          <w:tcPr>
            <w:tcW w:w="2649"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 xml:space="preserve">152,075.47 </w:t>
            </w:r>
          </w:p>
        </w:tc>
        <w:tc>
          <w:tcPr>
            <w:tcW w:w="1669"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咨询服务费</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3143" w:type="dxa"/>
            <w:tcBorders>
              <w:top w:val="dotted" w:color="auto" w:sz="4" w:space="0"/>
              <w:left w:val="nil"/>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2"/>
                <w:szCs w:val="22"/>
              </w:rPr>
            </w:pPr>
            <w:r>
              <w:rPr>
                <w:rFonts w:hint="eastAsia" w:ascii="宋体" w:hAnsi="宋体" w:eastAsia="宋体" w:cs="宋体"/>
                <w:i w:val="0"/>
                <w:iCs w:val="0"/>
                <w:color w:val="000000"/>
                <w:kern w:val="0"/>
                <w:sz w:val="22"/>
                <w:szCs w:val="22"/>
                <w:u w:val="none"/>
                <w:lang w:val="en-US" w:eastAsia="zh-CN" w:bidi="ar"/>
              </w:rPr>
              <w:t>海南千华土石方工程有限公司</w:t>
            </w:r>
          </w:p>
        </w:tc>
        <w:tc>
          <w:tcPr>
            <w:tcW w:w="2649"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 xml:space="preserve">29,648.57 </w:t>
            </w:r>
          </w:p>
        </w:tc>
        <w:tc>
          <w:tcPr>
            <w:tcW w:w="1669"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lang w:val="en-US" w:eastAsia="zh-CN"/>
              </w:rPr>
            </w:pPr>
            <w:r>
              <w:rPr>
                <w:rFonts w:hint="eastAsia" w:ascii="宋体" w:hAnsi="宋体" w:eastAsia="宋体" w:cs="宋体"/>
                <w:i w:val="0"/>
                <w:iCs w:val="0"/>
                <w:color w:val="000000"/>
                <w:kern w:val="0"/>
                <w:sz w:val="18"/>
                <w:szCs w:val="18"/>
                <w:lang w:val="en-US" w:eastAsia="zh-CN"/>
              </w:rPr>
              <w:t>工程款</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val="0"/>
                <w:bCs w:val="0"/>
                <w:kern w:val="2"/>
                <w:sz w:val="21"/>
                <w:szCs w:val="21"/>
              </w:rPr>
            </w:pPr>
            <w:r>
              <w:rPr>
                <w:rFonts w:hint="eastAsia" w:ascii="宋体" w:hAnsi="宋体" w:eastAsia="宋体" w:cs="宋体"/>
                <w:b w:val="0"/>
                <w:bCs w:val="0"/>
                <w:kern w:val="2"/>
                <w:sz w:val="21"/>
                <w:szCs w:val="21"/>
                <w:lang w:val="en-US" w:eastAsia="zh-CN" w:bidi="ar"/>
              </w:rPr>
              <w:t>合计</w:t>
            </w:r>
          </w:p>
        </w:tc>
        <w:tc>
          <w:tcPr>
            <w:tcW w:w="1523"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iCs w:val="0"/>
                <w:color w:val="000000"/>
                <w:kern w:val="0"/>
                <w:sz w:val="22"/>
                <w:szCs w:val="22"/>
                <w:lang w:val="en-US" w:eastAsia="zh-CN" w:bidi="ar"/>
              </w:rPr>
            </w:pPr>
            <w:r>
              <w:rPr>
                <w:rFonts w:hint="eastAsia" w:ascii="宋体" w:hAnsi="宋体" w:eastAsia="宋体" w:cs="宋体"/>
                <w:b w:val="0"/>
                <w:bCs w:val="0"/>
                <w:i w:val="0"/>
                <w:iCs w:val="0"/>
                <w:color w:val="000000"/>
                <w:kern w:val="0"/>
                <w:sz w:val="22"/>
                <w:szCs w:val="22"/>
                <w:lang w:val="en-US" w:eastAsia="zh-CN" w:bidi="ar"/>
              </w:rPr>
              <w:fldChar w:fldCharType="begin"/>
            </w:r>
            <w:r>
              <w:rPr>
                <w:rFonts w:hint="eastAsia" w:ascii="宋体" w:hAnsi="宋体" w:eastAsia="宋体" w:cs="宋体"/>
                <w:b w:val="0"/>
                <w:bCs w:val="0"/>
                <w:i w:val="0"/>
                <w:iCs w:val="0"/>
                <w:color w:val="000000"/>
                <w:kern w:val="0"/>
                <w:sz w:val="22"/>
                <w:szCs w:val="22"/>
                <w:lang w:val="en-US" w:eastAsia="zh-CN" w:bidi="ar"/>
              </w:rPr>
              <w:instrText xml:space="preserve"> = sum(B2:B4) \* MERGEFORMAT </w:instrText>
            </w:r>
            <w:r>
              <w:rPr>
                <w:rFonts w:hint="eastAsia" w:ascii="宋体" w:hAnsi="宋体" w:eastAsia="宋体" w:cs="宋体"/>
                <w:b w:val="0"/>
                <w:bCs w:val="0"/>
                <w:i w:val="0"/>
                <w:iCs w:val="0"/>
                <w:color w:val="000000"/>
                <w:kern w:val="0"/>
                <w:sz w:val="22"/>
                <w:szCs w:val="22"/>
                <w:lang w:val="en-US" w:eastAsia="zh-CN" w:bidi="ar"/>
              </w:rPr>
              <w:fldChar w:fldCharType="separate"/>
            </w:r>
            <w:r>
              <w:rPr>
                <w:rFonts w:hint="eastAsia" w:ascii="宋体" w:hAnsi="宋体" w:eastAsia="宋体" w:cs="宋体"/>
                <w:b w:val="0"/>
                <w:bCs w:val="0"/>
                <w:i w:val="0"/>
                <w:iCs w:val="0"/>
                <w:color w:val="000000"/>
                <w:kern w:val="0"/>
                <w:sz w:val="22"/>
                <w:szCs w:val="22"/>
                <w:lang w:val="en-US" w:eastAsia="zh-CN" w:bidi="ar"/>
              </w:rPr>
              <w:t>183,444.04</w:t>
            </w:r>
            <w:r>
              <w:rPr>
                <w:rFonts w:hint="eastAsia" w:ascii="宋体" w:hAnsi="宋体" w:eastAsia="宋体" w:cs="宋体"/>
                <w:b w:val="0"/>
                <w:bCs w:val="0"/>
                <w:i w:val="0"/>
                <w:iCs w:val="0"/>
                <w:color w:val="000000"/>
                <w:kern w:val="0"/>
                <w:sz w:val="22"/>
                <w:szCs w:val="22"/>
                <w:lang w:val="en-US" w:eastAsia="zh-CN" w:bidi="ar"/>
              </w:rPr>
              <w:fldChar w:fldCharType="end"/>
            </w:r>
          </w:p>
        </w:tc>
        <w:tc>
          <w:tcPr>
            <w:tcW w:w="1669"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0"/>
                <w:sz w:val="18"/>
                <w:szCs w:val="18"/>
              </w:rPr>
            </w:pP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（十二）预收账款</w:t>
      </w:r>
    </w:p>
    <w:p>
      <w:pPr>
        <w:keepNext w:val="0"/>
        <w:keepLines w:val="0"/>
        <w:widowControl/>
        <w:suppressLineNumbers w:val="0"/>
        <w:adjustRightInd w:val="0"/>
        <w:spacing w:before="0" w:beforeAutospacing="0" w:after="0" w:afterAutospacing="0" w:line="360" w:lineRule="auto"/>
        <w:ind w:left="480" w:right="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预收账款账龄分析</w:t>
      </w:r>
    </w:p>
    <w:tbl>
      <w:tblPr>
        <w:tblStyle w:val="5"/>
        <w:tblW w:w="86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87"/>
        <w:gridCol w:w="2887"/>
        <w:gridCol w:w="2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5" w:hRule="atLeast"/>
          <w:jc w:val="center"/>
        </w:trPr>
        <w:tc>
          <w:tcPr>
            <w:tcW w:w="2887"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账龄结构</w:t>
            </w:r>
          </w:p>
        </w:tc>
        <w:tc>
          <w:tcPr>
            <w:tcW w:w="2887" w:type="dxa"/>
            <w:tcBorders>
              <w:top w:val="single" w:color="auto" w:sz="12" w:space="0"/>
              <w:left w:val="nil"/>
              <w:bottom w:val="dotted" w:color="auto" w:sz="4"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c>
          <w:tcPr>
            <w:tcW w:w="2888" w:type="dxa"/>
            <w:tcBorders>
              <w:top w:val="single" w:color="auto" w:sz="12"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0"/>
                <w:sz w:val="21"/>
                <w:szCs w:val="21"/>
              </w:rPr>
            </w:pPr>
            <w:r>
              <w:rPr>
                <w:rFonts w:hint="eastAsia" w:ascii="宋体" w:hAnsi="宋体" w:eastAsia="宋体" w:cs="宋体"/>
                <w:color w:val="000000"/>
                <w:kern w:val="2"/>
                <w:sz w:val="21"/>
                <w:szCs w:val="21"/>
                <w:lang w:val="en-US" w:eastAsia="zh-CN" w:bidi="ar"/>
              </w:rPr>
              <w:t>1年以内</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2"/>
                <w:szCs w:val="22"/>
              </w:rPr>
            </w:pPr>
            <w:r>
              <w:rPr>
                <w:rFonts w:hint="default" w:ascii="宋体" w:hAnsi="宋体" w:eastAsia="宋体" w:cs="宋体"/>
                <w:i w:val="0"/>
                <w:color w:val="000000"/>
                <w:kern w:val="0"/>
                <w:sz w:val="22"/>
                <w:szCs w:val="22"/>
                <w:u w:val="none"/>
                <w:lang w:val="en-US" w:eastAsia="zh-CN" w:bidi="ar"/>
              </w:rPr>
              <w:t xml:space="preserve"> 573,420.71 </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kern w:val="2"/>
                <w:sz w:val="22"/>
                <w:szCs w:val="22"/>
              </w:rPr>
            </w:pPr>
            <w:r>
              <w:rPr>
                <w:rFonts w:hint="eastAsia" w:ascii="宋体" w:hAnsi="宋体" w:eastAsia="宋体" w:cs="宋体"/>
                <w:kern w:val="0"/>
                <w:sz w:val="22"/>
                <w:szCs w:val="22"/>
                <w:lang w:val="en-US" w:eastAsia="zh-CN" w:bidi="ar"/>
              </w:rPr>
              <w:t>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0"/>
                <w:sz w:val="21"/>
                <w:szCs w:val="21"/>
              </w:rPr>
            </w:pPr>
            <w:r>
              <w:rPr>
                <w:rFonts w:hint="eastAsia" w:ascii="宋体" w:hAnsi="宋体" w:eastAsia="宋体" w:cs="宋体"/>
                <w:color w:val="000000"/>
                <w:kern w:val="2"/>
                <w:sz w:val="21"/>
                <w:szCs w:val="21"/>
                <w:lang w:val="en-US" w:eastAsia="zh-CN" w:bidi="ar"/>
              </w:rPr>
              <w:t>1-2年</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2"/>
                <w:szCs w:val="22"/>
              </w:rPr>
            </w:pPr>
            <w:r>
              <w:rPr>
                <w:rFonts w:hint="default" w:ascii="宋体" w:hAnsi="宋体" w:eastAsia="宋体" w:cs="宋体"/>
                <w:kern w:val="0"/>
                <w:sz w:val="22"/>
                <w:szCs w:val="22"/>
                <w:lang w:val="en-US" w:eastAsia="zh-CN"/>
              </w:rPr>
              <w:t xml:space="preserve"> 2,677.00 </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leftChars="0" w:right="0" w:rightChars="0"/>
              <w:jc w:val="center"/>
              <w:rPr>
                <w:rFonts w:hint="default" w:ascii="Times New Roman" w:hAnsi="宋体" w:cs="Times New Roman"/>
                <w:kern w:val="0"/>
                <w:sz w:val="22"/>
                <w:szCs w:val="22"/>
              </w:rPr>
            </w:pPr>
            <w:r>
              <w:rPr>
                <w:rFonts w:hint="eastAsia" w:ascii="宋体" w:hAnsi="宋体" w:eastAsia="宋体" w:cs="宋体"/>
                <w:kern w:val="0"/>
                <w:sz w:val="22"/>
                <w:szCs w:val="22"/>
                <w:lang w:val="en-US" w:eastAsia="zh-CN" w:bidi="ar"/>
              </w:rPr>
              <w:t>18,744.00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 w:hRule="atLeast"/>
          <w:jc w:val="center"/>
        </w:trPr>
        <w:tc>
          <w:tcPr>
            <w:tcW w:w="2887" w:type="dxa"/>
            <w:tcBorders>
              <w:top w:val="dotted" w:color="auto" w:sz="4" w:space="0"/>
              <w:left w:val="nil"/>
              <w:bottom w:val="single" w:color="auto" w:sz="12"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center"/>
              <w:rPr>
                <w:rFonts w:hint="default" w:ascii="Times New Roman" w:hAnsi="宋体" w:cs="Times New Roman"/>
                <w:b/>
                <w:bCs/>
                <w:kern w:val="0"/>
                <w:sz w:val="21"/>
                <w:szCs w:val="21"/>
              </w:rPr>
            </w:pPr>
            <w:r>
              <w:rPr>
                <w:rFonts w:hint="eastAsia" w:ascii="宋体" w:hAnsi="宋体" w:eastAsia="宋体" w:cs="宋体"/>
                <w:b/>
                <w:bCs/>
                <w:kern w:val="2"/>
                <w:sz w:val="21"/>
                <w:szCs w:val="21"/>
                <w:lang w:val="en-US" w:eastAsia="zh-CN" w:bidi="ar"/>
              </w:rPr>
              <w:t>合计</w:t>
            </w:r>
          </w:p>
        </w:tc>
        <w:tc>
          <w:tcPr>
            <w:tcW w:w="2887" w:type="dxa"/>
            <w:tcBorders>
              <w:top w:val="dotted" w:color="auto" w:sz="4" w:space="0"/>
              <w:left w:val="nil"/>
              <w:bottom w:val="single" w:color="auto" w:sz="12"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fldChar w:fldCharType="begin"/>
            </w:r>
            <w:r>
              <w:rPr>
                <w:rFonts w:hint="eastAsia" w:ascii="宋体" w:hAnsi="宋体" w:eastAsia="宋体" w:cs="宋体"/>
                <w:b/>
                <w:bCs/>
                <w:kern w:val="0"/>
                <w:sz w:val="21"/>
                <w:szCs w:val="21"/>
              </w:rPr>
              <w:instrText xml:space="preserve"> = sum(B2:B3) \* MERGEFORMAT </w:instrText>
            </w:r>
            <w:r>
              <w:rPr>
                <w:rFonts w:hint="eastAsia" w:ascii="宋体" w:hAnsi="宋体" w:eastAsia="宋体" w:cs="宋体"/>
                <w:b/>
                <w:bCs/>
                <w:kern w:val="0"/>
                <w:sz w:val="21"/>
                <w:szCs w:val="21"/>
              </w:rPr>
              <w:fldChar w:fldCharType="separate"/>
            </w:r>
            <w:r>
              <w:rPr>
                <w:rFonts w:hint="eastAsia" w:ascii="宋体" w:hAnsi="宋体" w:eastAsia="宋体" w:cs="宋体"/>
                <w:b/>
                <w:bCs/>
                <w:kern w:val="0"/>
                <w:sz w:val="21"/>
                <w:szCs w:val="21"/>
              </w:rPr>
              <w:t>576</w:t>
            </w:r>
            <w:r>
              <w:rPr>
                <w:rFonts w:hint="eastAsia" w:ascii="宋体" w:hAnsi="宋体" w:eastAsia="宋体" w:cs="宋体"/>
                <w:b/>
                <w:bCs/>
                <w:kern w:val="0"/>
                <w:sz w:val="21"/>
                <w:szCs w:val="21"/>
                <w:lang w:val="en-US" w:eastAsia="zh-CN"/>
              </w:rPr>
              <w:t>,</w:t>
            </w:r>
            <w:r>
              <w:rPr>
                <w:rFonts w:hint="eastAsia" w:ascii="宋体" w:hAnsi="宋体" w:eastAsia="宋体" w:cs="宋体"/>
                <w:b/>
                <w:bCs/>
                <w:kern w:val="0"/>
                <w:sz w:val="21"/>
                <w:szCs w:val="21"/>
              </w:rPr>
              <w:t>097.71</w:t>
            </w:r>
            <w:r>
              <w:rPr>
                <w:rFonts w:hint="eastAsia" w:ascii="宋体" w:hAnsi="宋体" w:eastAsia="宋体" w:cs="宋体"/>
                <w:b/>
                <w:bCs/>
                <w:kern w:val="0"/>
                <w:sz w:val="21"/>
                <w:szCs w:val="21"/>
              </w:rPr>
              <w:fldChar w:fldCharType="end"/>
            </w:r>
          </w:p>
        </w:tc>
        <w:tc>
          <w:tcPr>
            <w:tcW w:w="2888" w:type="dxa"/>
            <w:tcBorders>
              <w:top w:val="dotted" w:color="auto" w:sz="4" w:space="0"/>
              <w:left w:val="nil"/>
              <w:bottom w:val="single" w:color="auto" w:sz="12"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35,244.00</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应付账款欠款单位</w:t>
      </w:r>
      <w:r>
        <w:rPr>
          <w:rFonts w:hint="eastAsia" w:ascii="宋体" w:hAnsi="宋体" w:eastAsia="宋体" w:cs="宋体"/>
          <w:kern w:val="2"/>
          <w:sz w:val="21"/>
          <w:szCs w:val="21"/>
          <w:lang w:val="en-US" w:eastAsia="zh-CN" w:bidi="ar"/>
        </w:rPr>
        <w:t>明细</w:t>
      </w:r>
    </w:p>
    <w:tbl>
      <w:tblPr>
        <w:tblStyle w:val="5"/>
        <w:tblW w:w="8686" w:type="dxa"/>
        <w:jc w:val="center"/>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2895"/>
        <w:gridCol w:w="2895"/>
        <w:gridCol w:w="2896"/>
      </w:tblGrid>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2895" w:type="dxa"/>
            <w:tcBorders>
              <w:top w:val="single" w:color="000000" w:sz="12" w:space="0"/>
              <w:left w:val="nil"/>
              <w:bottom w:val="dotted"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客户类别</w:t>
            </w:r>
          </w:p>
        </w:tc>
        <w:tc>
          <w:tcPr>
            <w:tcW w:w="2895" w:type="dxa"/>
            <w:tcBorders>
              <w:top w:val="single" w:color="000000" w:sz="12"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0" w:after="0" w:afterAutospacing="0"/>
              <w:ind w:left="0" w:right="0" w:firstLine="210" w:firstLineChars="10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c>
          <w:tcPr>
            <w:tcW w:w="2896" w:type="dxa"/>
            <w:tcBorders>
              <w:top w:val="single" w:color="000000" w:sz="12"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备注</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2895" w:type="dxa"/>
            <w:tcBorders>
              <w:top w:val="dotted" w:color="auto" w:sz="4" w:space="0"/>
              <w:left w:val="nil"/>
              <w:bottom w:val="dotted"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2"/>
                <w:sz w:val="21"/>
                <w:szCs w:val="21"/>
              </w:rPr>
            </w:pPr>
            <w:r>
              <w:rPr>
                <w:rFonts w:hint="eastAsia" w:ascii="Arial" w:hAnsi="Arial" w:eastAsia="宋体" w:cs="Times New Roman"/>
                <w:color w:val="000000"/>
                <w:sz w:val="20"/>
                <w:szCs w:val="24"/>
              </w:rPr>
              <w:t>海南农垦果蔬产业集团有限公司</w:t>
            </w:r>
          </w:p>
        </w:tc>
        <w:tc>
          <w:tcPr>
            <w:tcW w:w="2895" w:type="dxa"/>
            <w:tcBorders>
              <w:top w:val="dotted" w:color="auto" w:sz="4"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573,420.71</w:t>
            </w:r>
          </w:p>
        </w:tc>
        <w:tc>
          <w:tcPr>
            <w:tcW w:w="2896"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ind w:left="0" w:right="0"/>
              <w:jc w:val="center"/>
              <w:rPr>
                <w:rFonts w:hint="default" w:ascii="Times New Roman" w:hAnsi="Times New Roman" w:eastAsia="宋体" w:cs="Times New Roman"/>
                <w:kern w:val="2"/>
                <w:sz w:val="22"/>
                <w:szCs w:val="22"/>
              </w:rPr>
            </w:pPr>
            <w:r>
              <w:rPr>
                <w:rFonts w:hint="eastAsia" w:ascii="宋体" w:hAnsi="宋体" w:eastAsia="宋体" w:cs="宋体"/>
                <w:i w:val="0"/>
                <w:color w:val="000000"/>
                <w:kern w:val="0"/>
                <w:sz w:val="22"/>
                <w:szCs w:val="22"/>
                <w:u w:val="none"/>
                <w:lang w:val="en-US" w:eastAsia="zh-CN" w:bidi="ar"/>
              </w:rPr>
              <w:t>效益分成款</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2895" w:type="dxa"/>
            <w:tcBorders>
              <w:top w:val="dotted" w:color="auto" w:sz="4" w:space="0"/>
              <w:left w:val="nil"/>
              <w:bottom w:val="dotted" w:color="auto" w:sz="4" w:space="0"/>
              <w:right w:val="single" w:color="000000"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零星客户小计</w:t>
            </w:r>
          </w:p>
        </w:tc>
        <w:tc>
          <w:tcPr>
            <w:tcW w:w="2895" w:type="dxa"/>
            <w:tcBorders>
              <w:top w:val="dotted" w:color="auto" w:sz="4"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2,677.00</w:t>
            </w:r>
          </w:p>
        </w:tc>
        <w:tc>
          <w:tcPr>
            <w:tcW w:w="2896"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2"/>
                <w:szCs w:val="22"/>
              </w:rPr>
            </w:pPr>
            <w:r>
              <w:rPr>
                <w:rFonts w:hint="eastAsia" w:ascii="宋体" w:hAnsi="宋体" w:eastAsia="宋体" w:cs="宋体"/>
                <w:kern w:val="2"/>
                <w:sz w:val="22"/>
                <w:szCs w:val="22"/>
                <w:lang w:val="en-US" w:eastAsia="zh-CN" w:bidi="ar"/>
              </w:rPr>
              <w:t>水费</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895" w:type="dxa"/>
            <w:tcBorders>
              <w:top w:val="dotted" w:color="auto" w:sz="4" w:space="0"/>
              <w:left w:val="nil"/>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kern w:val="2"/>
                <w:sz w:val="21"/>
                <w:szCs w:val="21"/>
              </w:rPr>
            </w:pPr>
            <w:r>
              <w:rPr>
                <w:rFonts w:hint="eastAsia" w:ascii="宋体" w:hAnsi="宋体" w:eastAsia="宋体" w:cs="宋体"/>
                <w:b/>
                <w:bCs/>
                <w:kern w:val="2"/>
                <w:sz w:val="21"/>
                <w:szCs w:val="21"/>
                <w:lang w:val="en-US" w:eastAsia="zh-CN" w:bidi="ar"/>
              </w:rPr>
              <w:t>合 计</w:t>
            </w:r>
          </w:p>
        </w:tc>
        <w:tc>
          <w:tcPr>
            <w:tcW w:w="2895" w:type="dxa"/>
            <w:tcBorders>
              <w:top w:val="dotted" w:color="auto"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fldChar w:fldCharType="begin"/>
            </w:r>
            <w:r>
              <w:rPr>
                <w:rFonts w:hint="eastAsia" w:ascii="宋体" w:hAnsi="宋体" w:eastAsia="宋体" w:cs="宋体"/>
                <w:b/>
                <w:bCs/>
                <w:i w:val="0"/>
                <w:color w:val="000000"/>
                <w:kern w:val="0"/>
                <w:sz w:val="22"/>
                <w:szCs w:val="22"/>
                <w:u w:val="none"/>
                <w:lang w:val="en-US" w:eastAsia="zh-CN" w:bidi="ar"/>
              </w:rPr>
              <w:instrText xml:space="preserve"> = sum(B2:B3) \* MERGEFORMAT </w:instrText>
            </w:r>
            <w:r>
              <w:rPr>
                <w:rFonts w:hint="eastAsia" w:ascii="宋体" w:hAnsi="宋体" w:eastAsia="宋体" w:cs="宋体"/>
                <w:b/>
                <w:bCs/>
                <w:i w:val="0"/>
                <w:color w:val="000000"/>
                <w:kern w:val="0"/>
                <w:sz w:val="22"/>
                <w:szCs w:val="22"/>
                <w:u w:val="none"/>
                <w:lang w:val="en-US" w:eastAsia="zh-CN" w:bidi="ar"/>
              </w:rPr>
              <w:fldChar w:fldCharType="separate"/>
            </w:r>
            <w:r>
              <w:rPr>
                <w:rFonts w:hint="eastAsia" w:ascii="宋体" w:hAnsi="宋体" w:eastAsia="宋体" w:cs="宋体"/>
                <w:b/>
                <w:bCs/>
                <w:i w:val="0"/>
                <w:color w:val="000000"/>
                <w:kern w:val="0"/>
                <w:sz w:val="22"/>
                <w:szCs w:val="22"/>
                <w:u w:val="none"/>
                <w:lang w:val="en-US" w:eastAsia="zh-CN" w:bidi="ar"/>
              </w:rPr>
              <w:t>576,097.71</w:t>
            </w:r>
            <w:r>
              <w:rPr>
                <w:rFonts w:hint="eastAsia" w:ascii="宋体" w:hAnsi="宋体" w:eastAsia="宋体" w:cs="宋体"/>
                <w:b/>
                <w:bCs/>
                <w:i w:val="0"/>
                <w:color w:val="000000"/>
                <w:kern w:val="0"/>
                <w:sz w:val="22"/>
                <w:szCs w:val="22"/>
                <w:u w:val="none"/>
                <w:lang w:val="en-US" w:eastAsia="zh-CN" w:bidi="ar"/>
              </w:rPr>
              <w:fldChar w:fldCharType="end"/>
            </w:r>
          </w:p>
        </w:tc>
        <w:tc>
          <w:tcPr>
            <w:tcW w:w="2896" w:type="dxa"/>
            <w:tcBorders>
              <w:top w:val="dotted" w:color="auto" w:sz="4" w:space="0"/>
              <w:left w:val="single" w:color="000000" w:sz="4" w:space="0"/>
              <w:bottom w:val="single" w:color="000000" w:sz="12"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120" w:rightChars="0"/>
              <w:jc w:val="center"/>
              <w:rPr>
                <w:rFonts w:hint="default" w:ascii="Times New Roman" w:hAnsi="Times New Roman" w:cs="Times New Roman"/>
                <w:b/>
                <w:bCs/>
                <w:kern w:val="2"/>
                <w:sz w:val="22"/>
                <w:szCs w:val="22"/>
              </w:rPr>
            </w:pP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（十三）应付职工薪酬</w:t>
      </w:r>
    </w:p>
    <w:tbl>
      <w:tblPr>
        <w:tblStyle w:val="5"/>
        <w:tblW w:w="8593"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718"/>
        <w:gridCol w:w="1718"/>
        <w:gridCol w:w="1718"/>
        <w:gridCol w:w="1718"/>
        <w:gridCol w:w="1721"/>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w:t>
            </w:r>
          </w:p>
        </w:tc>
        <w:tc>
          <w:tcPr>
            <w:tcW w:w="171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年初账面余额</w:t>
            </w:r>
          </w:p>
        </w:tc>
        <w:tc>
          <w:tcPr>
            <w:tcW w:w="171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本期增加额</w:t>
            </w:r>
          </w:p>
        </w:tc>
        <w:tc>
          <w:tcPr>
            <w:tcW w:w="171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本期减少额</w:t>
            </w:r>
          </w:p>
        </w:tc>
        <w:tc>
          <w:tcPr>
            <w:tcW w:w="1721"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基本工资</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55,920.00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6,598,827.74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6,601,667.74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53,080.00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绩效工资</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3,480,541.98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5,226,083.91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5,113,192.76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3,593,433.13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职工福利</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8,712.00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580,381.00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578,853.00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10,240.00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社会保险</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2,263,340.08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2,255,294.16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8,045.92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837,119.00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837,119.00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工会经费</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219,766.42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219,766.42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职工教育经费</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71,329.49 </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14,025.63 </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57,303.86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exact"/>
          <w:jc w:val="center"/>
        </w:trPr>
        <w:tc>
          <w:tcPr>
            <w:tcW w:w="1718" w:type="dxa"/>
            <w:tcBorders>
              <w:top w:val="dotted"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合 计</w:t>
            </w:r>
          </w:p>
        </w:tc>
        <w:tc>
          <w:tcPr>
            <w:tcW w:w="1718"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 xml:space="preserve">3,616,503.47 </w:t>
            </w:r>
          </w:p>
        </w:tc>
        <w:tc>
          <w:tcPr>
            <w:tcW w:w="1718"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 xml:space="preserve">15,725,518.15 </w:t>
            </w:r>
          </w:p>
        </w:tc>
        <w:tc>
          <w:tcPr>
            <w:tcW w:w="1718"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 xml:space="preserve">15,619,918.71 </w:t>
            </w:r>
          </w:p>
        </w:tc>
        <w:tc>
          <w:tcPr>
            <w:tcW w:w="1721"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 xml:space="preserve">3,722,102.91 </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color w:val="auto"/>
          <w:kern w:val="2"/>
          <w:sz w:val="24"/>
          <w:szCs w:val="24"/>
          <w:highlight w:val="none"/>
        </w:rPr>
      </w:pPr>
      <w:r>
        <w:rPr>
          <w:rFonts w:hint="eastAsia" w:ascii="宋体" w:hAnsi="宋体" w:eastAsia="宋体" w:cs="宋体"/>
          <w:kern w:val="2"/>
          <w:sz w:val="24"/>
          <w:szCs w:val="24"/>
          <w:highlight w:val="none"/>
          <w:lang w:val="en-US" w:eastAsia="zh-CN" w:bidi="ar"/>
        </w:rPr>
        <w:t>（十四）</w:t>
      </w:r>
      <w:r>
        <w:rPr>
          <w:rFonts w:hint="eastAsia" w:ascii="宋体" w:hAnsi="宋体" w:eastAsia="宋体" w:cs="宋体"/>
          <w:color w:val="auto"/>
          <w:kern w:val="2"/>
          <w:sz w:val="24"/>
          <w:szCs w:val="24"/>
          <w:highlight w:val="none"/>
          <w:lang w:val="en-US" w:eastAsia="zh-CN" w:bidi="ar"/>
        </w:rPr>
        <w:t>应交税费</w:t>
      </w:r>
    </w:p>
    <w:tbl>
      <w:tblPr>
        <w:tblStyle w:val="5"/>
        <w:tblW w:w="8361"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1"/>
        <w:gridCol w:w="2790"/>
        <w:gridCol w:w="2740"/>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2831"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税费项目</w:t>
            </w:r>
          </w:p>
        </w:tc>
        <w:tc>
          <w:tcPr>
            <w:tcW w:w="2790"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年初账面余额</w:t>
            </w:r>
          </w:p>
        </w:tc>
        <w:tc>
          <w:tcPr>
            <w:tcW w:w="2740"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增值税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Times New Roman"/>
                <w:color w:val="auto"/>
                <w:kern w:val="2"/>
                <w:sz w:val="22"/>
                <w:szCs w:val="22"/>
                <w:lang w:val="en-US"/>
              </w:rPr>
            </w:pPr>
            <w:r>
              <w:rPr>
                <w:rFonts w:hint="eastAsia" w:ascii="宋体" w:hAnsi="宋体" w:eastAsia="宋体" w:cs="宋体"/>
                <w:i w:val="0"/>
                <w:iCs w:val="0"/>
                <w:color w:val="auto"/>
                <w:kern w:val="0"/>
                <w:sz w:val="22"/>
                <w:szCs w:val="22"/>
                <w:u w:val="none"/>
                <w:lang w:val="en-US" w:eastAsia="zh-CN" w:bidi="ar"/>
              </w:rPr>
              <w:t>120,466.08</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Times New Roman"/>
                <w:color w:val="auto"/>
                <w:kern w:val="2"/>
                <w:sz w:val="22"/>
                <w:szCs w:val="22"/>
                <w:lang w:val="en-US" w:eastAsia="zh-CN"/>
              </w:rPr>
            </w:pPr>
            <w:r>
              <w:rPr>
                <w:rFonts w:hint="eastAsia" w:ascii="宋体" w:hAnsi="宋体" w:eastAsia="宋体" w:cs="Times New Roman"/>
                <w:color w:val="auto"/>
                <w:kern w:val="2"/>
                <w:sz w:val="22"/>
                <w:szCs w:val="22"/>
                <w:lang w:val="en-US" w:eastAsia="zh-CN"/>
              </w:rPr>
              <w:t>301,</w:t>
            </w:r>
            <w:bookmarkStart w:id="6" w:name="_GoBack"/>
            <w:bookmarkEnd w:id="6"/>
            <w:r>
              <w:rPr>
                <w:rFonts w:hint="eastAsia" w:ascii="宋体" w:hAnsi="宋体" w:eastAsia="宋体" w:cs="Times New Roman"/>
                <w:color w:val="auto"/>
                <w:kern w:val="2"/>
                <w:sz w:val="22"/>
                <w:szCs w:val="22"/>
                <w:lang w:val="en-US" w:eastAsia="zh-CN"/>
              </w:rPr>
              <w:t>683.33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企业所得税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364,138.90 </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35,940.52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个人所得税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5,860.25 </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152,236.51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房产税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3,908.50 </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3,908.50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43"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土地使用税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33,855.26</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33,855.26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城市维护建设税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95.37</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10,582.62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教育费附加</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40.87</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4,604.01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rPr>
            </w:pPr>
            <w:r>
              <w:rPr>
                <w:rFonts w:hint="eastAsia" w:ascii="宋体" w:hAnsi="宋体" w:eastAsia="宋体" w:cs="宋体"/>
                <w:i w:val="0"/>
                <w:iCs w:val="0"/>
                <w:color w:val="auto"/>
                <w:kern w:val="0"/>
                <w:sz w:val="22"/>
                <w:szCs w:val="22"/>
                <w:u w:val="none"/>
                <w:lang w:val="en-US" w:eastAsia="zh-CN" w:bidi="ar"/>
              </w:rPr>
              <w:t>地方教育费附加</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27.25 </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3,069.34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i w:val="0"/>
                <w:iCs w:val="0"/>
                <w:color w:val="auto"/>
                <w:kern w:val="0"/>
                <w:sz w:val="22"/>
                <w:szCs w:val="22"/>
                <w:u w:val="none"/>
                <w:lang w:val="en-US" w:eastAsia="zh-CN" w:bidi="ar"/>
              </w:rPr>
              <w:t>印花税</w:t>
            </w:r>
          </w:p>
        </w:tc>
        <w:tc>
          <w:tcPr>
            <w:tcW w:w="279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2"/>
                <w:sz w:val="22"/>
                <w:szCs w:val="22"/>
                <w:lang w:val="en-US" w:eastAsia="zh-CN" w:bidi="ar"/>
              </w:rPr>
            </w:pPr>
            <w:r>
              <w:rPr>
                <w:rFonts w:hint="eastAsia" w:ascii="宋体" w:hAnsi="宋体" w:eastAsia="宋体" w:cs="宋体"/>
                <w:color w:val="auto"/>
                <w:kern w:val="2"/>
                <w:sz w:val="22"/>
                <w:szCs w:val="22"/>
                <w:lang w:val="en-US" w:eastAsia="zh-CN" w:bidi="ar"/>
              </w:rPr>
              <w:t>-</w:t>
            </w:r>
          </w:p>
        </w:tc>
        <w:tc>
          <w:tcPr>
            <w:tcW w:w="2740"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Times New Roman"/>
                <w:color w:val="auto"/>
                <w:kern w:val="2"/>
                <w:sz w:val="22"/>
                <w:szCs w:val="22"/>
              </w:rPr>
            </w:pPr>
            <w:r>
              <w:rPr>
                <w:rFonts w:hint="eastAsia" w:ascii="宋体" w:hAnsi="宋体" w:eastAsia="宋体" w:cs="宋体"/>
                <w:i w:val="0"/>
                <w:iCs w:val="0"/>
                <w:color w:val="auto"/>
                <w:kern w:val="0"/>
                <w:sz w:val="22"/>
                <w:szCs w:val="22"/>
                <w:u w:val="none"/>
                <w:lang w:val="en-US" w:eastAsia="zh-CN" w:bidi="ar"/>
              </w:rPr>
              <w:t xml:space="preserve">125.00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2831"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auto"/>
                <w:kern w:val="2"/>
                <w:sz w:val="21"/>
                <w:szCs w:val="21"/>
              </w:rPr>
            </w:pPr>
            <w:r>
              <w:rPr>
                <w:rFonts w:hint="eastAsia" w:ascii="宋体" w:hAnsi="宋体" w:eastAsia="宋体" w:cs="宋体"/>
                <w:b/>
                <w:bCs w:val="0"/>
                <w:color w:val="auto"/>
                <w:kern w:val="2"/>
                <w:sz w:val="21"/>
                <w:szCs w:val="21"/>
                <w:lang w:val="en-US" w:eastAsia="zh-CN" w:bidi="ar"/>
              </w:rPr>
              <w:t>合计</w:t>
            </w:r>
          </w:p>
        </w:tc>
        <w:tc>
          <w:tcPr>
            <w:tcW w:w="2790"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宋体"/>
                <w:b/>
                <w:bCs w:val="0"/>
                <w:color w:val="auto"/>
                <w:kern w:val="2"/>
                <w:sz w:val="22"/>
                <w:szCs w:val="22"/>
                <w:lang w:val="en-US" w:eastAsia="zh-CN" w:bidi="ar"/>
              </w:rPr>
            </w:pPr>
            <w:r>
              <w:rPr>
                <w:rFonts w:hint="eastAsia" w:ascii="宋体" w:hAnsi="宋体" w:eastAsia="宋体" w:cs="宋体"/>
                <w:b/>
                <w:bCs w:val="0"/>
                <w:color w:val="auto"/>
                <w:kern w:val="2"/>
                <w:sz w:val="22"/>
                <w:szCs w:val="22"/>
                <w:lang w:val="en-US" w:eastAsia="zh-CN" w:bidi="ar"/>
              </w:rPr>
              <w:t xml:space="preserve">528,392.48 </w:t>
            </w:r>
          </w:p>
        </w:tc>
        <w:tc>
          <w:tcPr>
            <w:tcW w:w="2740"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宋体"/>
                <w:b/>
                <w:bCs w:val="0"/>
                <w:color w:val="auto"/>
                <w:kern w:val="2"/>
                <w:sz w:val="22"/>
                <w:szCs w:val="22"/>
                <w:lang w:val="en-US" w:eastAsia="zh-CN" w:bidi="ar"/>
              </w:rPr>
            </w:pPr>
            <w:r>
              <w:rPr>
                <w:rFonts w:hint="eastAsia" w:ascii="宋体" w:hAnsi="宋体" w:eastAsia="宋体" w:cs="宋体"/>
                <w:b/>
                <w:bCs w:val="0"/>
                <w:color w:val="auto"/>
                <w:kern w:val="2"/>
                <w:sz w:val="22"/>
                <w:szCs w:val="22"/>
                <w:lang w:val="en-US" w:eastAsia="zh-CN" w:bidi="ar"/>
              </w:rPr>
              <w:t xml:space="preserve">546,005.09 </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（十五）其他应付款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其他应付款账龄分析</w:t>
      </w:r>
    </w:p>
    <w:tbl>
      <w:tblPr>
        <w:tblStyle w:val="5"/>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127"/>
        <w:gridCol w:w="3121"/>
        <w:gridCol w:w="311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账龄结构</w:t>
            </w:r>
          </w:p>
        </w:tc>
        <w:tc>
          <w:tcPr>
            <w:tcW w:w="1866"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1861"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1年以内</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 xml:space="preserve">163,762.64 </w:t>
            </w:r>
          </w:p>
        </w:tc>
        <w:tc>
          <w:tcPr>
            <w:tcW w:w="1861" w:type="pct"/>
            <w:tcBorders>
              <w:top w:val="dotted" w:color="auto" w:sz="4" w:space="0"/>
              <w:left w:val="single" w:color="auto" w:sz="4" w:space="0"/>
              <w:bottom w:val="dotted" w:color="auto" w:sz="4" w:space="0"/>
              <w:right w:val="nil"/>
            </w:tcBorders>
            <w:shd w:val="clear" w:color="auto" w:fill="auto"/>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94,929.79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1-2年</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w:t>
            </w:r>
          </w:p>
        </w:tc>
        <w:tc>
          <w:tcPr>
            <w:tcW w:w="1861"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199,479.31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2-3年</w:t>
            </w:r>
          </w:p>
        </w:tc>
        <w:tc>
          <w:tcPr>
            <w:tcW w:w="1866"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default" w:ascii="宋体" w:hAnsi="宋体" w:eastAsia="宋体" w:cs="宋体"/>
                <w:i w:val="0"/>
                <w:color w:val="000000"/>
                <w:kern w:val="0"/>
                <w:sz w:val="22"/>
                <w:szCs w:val="22"/>
                <w:lang w:val="en-US" w:eastAsia="zh-CN" w:bidi="ar"/>
              </w:rPr>
              <w:t xml:space="preserve"> 15,028.28 </w:t>
            </w:r>
          </w:p>
        </w:tc>
        <w:tc>
          <w:tcPr>
            <w:tcW w:w="1861"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866"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lang w:val="en-US" w:eastAsia="zh-CN" w:bidi="ar"/>
              </w:rPr>
            </w:pPr>
            <w:r>
              <w:rPr>
                <w:rFonts w:hint="eastAsia" w:ascii="宋体" w:hAnsi="宋体" w:eastAsia="宋体" w:cs="宋体"/>
                <w:b/>
                <w:bCs/>
                <w:i w:val="0"/>
                <w:color w:val="000000"/>
                <w:kern w:val="0"/>
                <w:sz w:val="22"/>
                <w:szCs w:val="22"/>
                <w:lang w:val="en-US" w:eastAsia="zh-CN" w:bidi="ar"/>
              </w:rPr>
              <w:t>178,790.92</w:t>
            </w:r>
          </w:p>
        </w:tc>
        <w:tc>
          <w:tcPr>
            <w:tcW w:w="1861" w:type="pct"/>
            <w:tcBorders>
              <w:top w:val="dotted" w:color="auto" w:sz="4" w:space="0"/>
              <w:left w:val="single" w:color="auto" w:sz="4" w:space="0"/>
              <w:bottom w:val="single" w:color="auto" w:sz="12" w:space="0"/>
              <w:right w:val="nil"/>
            </w:tcBorders>
            <w:shd w:val="clear" w:color="auto" w:fill="auto"/>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lang w:val="en-US" w:eastAsia="zh-CN" w:bidi="ar"/>
              </w:rPr>
            </w:pPr>
            <w:r>
              <w:rPr>
                <w:rFonts w:hint="eastAsia" w:ascii="宋体" w:hAnsi="宋体" w:eastAsia="宋体" w:cs="宋体"/>
                <w:b/>
                <w:bCs/>
                <w:i w:val="0"/>
                <w:color w:val="000000"/>
                <w:kern w:val="0"/>
                <w:sz w:val="22"/>
                <w:szCs w:val="22"/>
                <w:lang w:val="en-US" w:eastAsia="zh-CN" w:bidi="ar"/>
              </w:rPr>
              <w:t>294,409.10</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其他应付款主要明细如下：</w:t>
      </w:r>
    </w:p>
    <w:tbl>
      <w:tblPr>
        <w:tblStyle w:val="5"/>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978"/>
        <w:gridCol w:w="2272"/>
        <w:gridCol w:w="3111"/>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单位名称</w:t>
            </w:r>
          </w:p>
        </w:tc>
        <w:tc>
          <w:tcPr>
            <w:tcW w:w="1358"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c>
          <w:tcPr>
            <w:tcW w:w="1860"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农场负担人员费用</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default" w:ascii="宋体" w:hAnsi="宋体" w:eastAsia="宋体" w:cs="宋体"/>
                <w:i w:val="0"/>
                <w:color w:val="000000"/>
                <w:kern w:val="0"/>
                <w:sz w:val="22"/>
                <w:szCs w:val="22"/>
                <w:lang w:val="en-US" w:eastAsia="zh-CN" w:bidi="ar"/>
              </w:rPr>
              <w:t xml:space="preserve">15,028.28 </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党建活动经费</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1,585.68</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海口市三江农场</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12,500.00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土地租金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海南农垦果蔬产业集团有限公司</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保证金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吴奋</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25,293.00 </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保证金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358" w:type="pct"/>
            <w:tcBorders>
              <w:top w:val="dotted"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rPr>
              <w:fldChar w:fldCharType="begin"/>
            </w:r>
            <w:r>
              <w:rPr>
                <w:rFonts w:hint="eastAsia" w:ascii="宋体" w:hAnsi="宋体" w:eastAsia="宋体" w:cs="宋体"/>
                <w:b/>
                <w:bCs/>
                <w:color w:val="000000"/>
                <w:kern w:val="2"/>
                <w:sz w:val="22"/>
                <w:szCs w:val="22"/>
              </w:rPr>
              <w:instrText xml:space="preserve"> = sum(B2:B6) \* MERGEFORMAT </w:instrText>
            </w:r>
            <w:r>
              <w:rPr>
                <w:rFonts w:hint="eastAsia" w:ascii="宋体" w:hAnsi="宋体" w:eastAsia="宋体" w:cs="宋体"/>
                <w:b/>
                <w:bCs/>
                <w:color w:val="000000"/>
                <w:kern w:val="2"/>
                <w:sz w:val="22"/>
                <w:szCs w:val="22"/>
              </w:rPr>
              <w:fldChar w:fldCharType="separate"/>
            </w:r>
            <w:r>
              <w:rPr>
                <w:rFonts w:hint="eastAsia" w:ascii="宋体" w:hAnsi="宋体" w:eastAsia="宋体" w:cs="宋体"/>
                <w:b/>
                <w:bCs/>
                <w:color w:val="000000"/>
                <w:kern w:val="2"/>
                <w:sz w:val="22"/>
                <w:szCs w:val="22"/>
              </w:rPr>
              <w:t>154</w:t>
            </w:r>
            <w:r>
              <w:rPr>
                <w:rFonts w:hint="eastAsia" w:ascii="宋体" w:hAnsi="宋体" w:eastAsia="宋体" w:cs="宋体"/>
                <w:b/>
                <w:bCs/>
                <w:color w:val="000000"/>
                <w:kern w:val="2"/>
                <w:sz w:val="22"/>
                <w:szCs w:val="22"/>
                <w:lang w:val="en-US" w:eastAsia="zh-CN"/>
              </w:rPr>
              <w:t>,</w:t>
            </w:r>
            <w:r>
              <w:rPr>
                <w:rFonts w:hint="eastAsia" w:ascii="宋体" w:hAnsi="宋体" w:eastAsia="宋体" w:cs="宋体"/>
                <w:b/>
                <w:bCs/>
                <w:color w:val="000000"/>
                <w:kern w:val="2"/>
                <w:sz w:val="22"/>
                <w:szCs w:val="22"/>
              </w:rPr>
              <w:t>406.96</w:t>
            </w:r>
            <w:r>
              <w:rPr>
                <w:rFonts w:hint="eastAsia" w:ascii="宋体" w:hAnsi="宋体" w:eastAsia="宋体" w:cs="宋体"/>
                <w:b/>
                <w:bCs/>
                <w:color w:val="000000"/>
                <w:kern w:val="2"/>
                <w:sz w:val="22"/>
                <w:szCs w:val="22"/>
              </w:rPr>
              <w:fldChar w:fldCharType="end"/>
            </w:r>
          </w:p>
        </w:tc>
        <w:tc>
          <w:tcPr>
            <w:tcW w:w="1860" w:type="pct"/>
            <w:tcBorders>
              <w:top w:val="dotted" w:color="auto" w:sz="4" w:space="0"/>
              <w:left w:val="single" w:color="auto" w:sz="4" w:space="0"/>
              <w:bottom w:val="single" w:color="auto" w:sz="12"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right"/>
              <w:rPr>
                <w:rFonts w:hint="eastAsia" w:ascii="宋体" w:hAnsi="宋体" w:eastAsia="宋体" w:cs="宋体"/>
                <w:b/>
                <w:bCs/>
                <w:color w:val="000000"/>
                <w:kern w:val="2"/>
                <w:sz w:val="22"/>
                <w:szCs w:val="22"/>
              </w:rPr>
            </w:pP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default" w:ascii="宋体" w:hAnsi="宋体" w:eastAsia="宋体" w:cs="宋体"/>
          <w:kern w:val="2"/>
          <w:sz w:val="24"/>
          <w:szCs w:val="24"/>
          <w:lang w:val="en-US"/>
        </w:rPr>
      </w:pPr>
      <w:r>
        <w:rPr>
          <w:rFonts w:hint="eastAsia" w:ascii="宋体" w:hAnsi="宋体" w:eastAsia="宋体" w:cs="宋体"/>
          <w:kern w:val="2"/>
          <w:sz w:val="24"/>
          <w:szCs w:val="24"/>
          <w:lang w:val="en-US" w:eastAsia="zh-CN" w:bidi="ar"/>
        </w:rPr>
        <w:t>（十六）专项应付款</w:t>
      </w:r>
    </w:p>
    <w:tbl>
      <w:tblPr>
        <w:tblStyle w:val="5"/>
        <w:tblW w:w="8353"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4"/>
        <w:gridCol w:w="2784"/>
        <w:gridCol w:w="2785"/>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2784"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784"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c>
          <w:tcPr>
            <w:tcW w:w="2785"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村庄民俗房屋改造及园建工程</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245,625.10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245,625.10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土地租金</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-102,250.00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-102,250.00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鱼塘土方工程</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-4,400.35</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-4,400.35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项目监理费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31,140.00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31,140.00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项目管理费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51,520.00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51,520.00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房屋拆迁费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-59,867.00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-59,867.00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资产评估费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-10,000.00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管养经费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725,316.70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725,316.70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农田水利</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23,693.01</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23,693.01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垃圾分类处理</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-157,281.25</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-157,281.25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“海沙地瓜、测绘费”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55,639.70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55,639.70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自来水主管道工程</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47,182.11</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47,182.11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2784"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fldChar w:fldCharType="begin"/>
            </w:r>
            <w:r>
              <w:rPr>
                <w:rFonts w:hint="eastAsia" w:ascii="宋体" w:hAnsi="宋体" w:eastAsia="宋体" w:cs="宋体"/>
                <w:b/>
                <w:bCs/>
                <w:color w:val="000000"/>
                <w:kern w:val="0"/>
                <w:sz w:val="21"/>
                <w:szCs w:val="21"/>
              </w:rPr>
              <w:instrText xml:space="preserve"> = sum(B2:B14) \* MERGEFORMAT </w:instrText>
            </w:r>
            <w:r>
              <w:rPr>
                <w:rFonts w:hint="eastAsia" w:ascii="宋体" w:hAnsi="宋体" w:eastAsia="宋体" w:cs="宋体"/>
                <w:b/>
                <w:bCs/>
                <w:color w:val="000000"/>
                <w:kern w:val="0"/>
                <w:sz w:val="21"/>
                <w:szCs w:val="21"/>
              </w:rPr>
              <w:fldChar w:fldCharType="separate"/>
            </w:r>
            <w:r>
              <w:rPr>
                <w:rFonts w:hint="eastAsia" w:ascii="宋体" w:hAnsi="宋体" w:eastAsia="宋体" w:cs="宋体"/>
                <w:b/>
                <w:bCs/>
                <w:color w:val="000000"/>
                <w:kern w:val="0"/>
                <w:sz w:val="21"/>
                <w:szCs w:val="21"/>
              </w:rPr>
              <w:t>84</w:t>
            </w:r>
            <w:r>
              <w:rPr>
                <w:rFonts w:hint="eastAsia" w:ascii="宋体" w:hAnsi="宋体" w:eastAsia="宋体" w:cs="宋体"/>
                <w:b/>
                <w:bCs/>
                <w:color w:val="000000"/>
                <w:kern w:val="0"/>
                <w:sz w:val="21"/>
                <w:szCs w:val="21"/>
                <w:lang w:val="en-US" w:eastAsia="zh-CN"/>
              </w:rPr>
              <w:t>6,31</w:t>
            </w:r>
            <w:r>
              <w:rPr>
                <w:rFonts w:hint="eastAsia" w:ascii="宋体" w:hAnsi="宋体" w:eastAsia="宋体" w:cs="宋体"/>
                <w:b/>
                <w:bCs/>
                <w:color w:val="000000"/>
                <w:kern w:val="0"/>
                <w:sz w:val="21"/>
                <w:szCs w:val="21"/>
              </w:rPr>
              <w:t>8.02</w:t>
            </w:r>
            <w:r>
              <w:rPr>
                <w:rFonts w:hint="eastAsia" w:ascii="宋体" w:hAnsi="宋体" w:eastAsia="宋体" w:cs="宋体"/>
                <w:b/>
                <w:bCs/>
                <w:color w:val="000000"/>
                <w:kern w:val="0"/>
                <w:sz w:val="21"/>
                <w:szCs w:val="21"/>
              </w:rPr>
              <w:fldChar w:fldCharType="end"/>
            </w:r>
          </w:p>
        </w:tc>
        <w:tc>
          <w:tcPr>
            <w:tcW w:w="2785"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bidi="ar"/>
              </w:rPr>
              <w:t>846,318.02</w:t>
            </w:r>
          </w:p>
        </w:tc>
      </w:tr>
    </w:tbl>
    <w:p>
      <w:pPr>
        <w:keepNext w:val="0"/>
        <w:keepLines w:val="0"/>
        <w:widowControl w:val="0"/>
        <w:suppressLineNumbers w:val="0"/>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（十七）递延收益</w:t>
      </w:r>
    </w:p>
    <w:tbl>
      <w:tblPr>
        <w:tblStyle w:val="5"/>
        <w:tblW w:w="4998" w:type="pct"/>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775"/>
        <w:gridCol w:w="2776"/>
        <w:gridCol w:w="278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65" w:type="pct"/>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665" w:type="pct"/>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c>
          <w:tcPr>
            <w:tcW w:w="1669" w:type="pct"/>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Arial" w:hAnsi="Arial" w:cs="Arial"/>
                <w:color w:val="000000"/>
                <w:kern w:val="2"/>
                <w:sz w:val="20"/>
                <w:szCs w:val="20"/>
              </w:rPr>
            </w:pPr>
            <w:r>
              <w:rPr>
                <w:rFonts w:hint="eastAsia" w:ascii="宋体" w:hAnsi="宋体" w:eastAsia="宋体" w:cs="宋体"/>
                <w:color w:val="000000"/>
                <w:kern w:val="2"/>
                <w:sz w:val="20"/>
                <w:szCs w:val="20"/>
                <w:lang w:val="en-US" w:eastAsia="zh-CN" w:bidi="ar"/>
              </w:rPr>
              <w:t>递延收益</w:t>
            </w:r>
          </w:p>
        </w:tc>
        <w:tc>
          <w:tcPr>
            <w:tcW w:w="1665" w:type="pct"/>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color w:val="000000"/>
                <w:kern w:val="2"/>
                <w:sz w:val="22"/>
                <w:szCs w:val="22"/>
              </w:rPr>
            </w:pPr>
            <w:r>
              <w:rPr>
                <w:rFonts w:hint="eastAsia" w:ascii="宋体" w:hAnsi="宋体" w:eastAsia="宋体" w:cs="宋体"/>
                <w:color w:val="000000"/>
                <w:sz w:val="22"/>
                <w:szCs w:val="22"/>
              </w:rPr>
              <w:t>4,442,078.22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宋体" w:hAnsi="宋体" w:eastAsia="宋体" w:cs="宋体"/>
                <w:color w:val="000000"/>
                <w:kern w:val="2"/>
                <w:sz w:val="20"/>
                <w:szCs w:val="20"/>
                <w:lang w:val="en-US" w:eastAsia="zh-CN" w:bidi="ar"/>
              </w:rPr>
            </w:pPr>
            <w:r>
              <w:rPr>
                <w:rFonts w:hint="eastAsia" w:ascii="宋体" w:hAnsi="宋体" w:eastAsia="宋体" w:cs="宋体"/>
                <w:color w:val="000000"/>
                <w:kern w:val="2"/>
                <w:sz w:val="20"/>
                <w:szCs w:val="20"/>
                <w:lang w:val="en-US" w:eastAsia="zh-CN" w:bidi="ar"/>
              </w:rPr>
              <w:t>其他</w:t>
            </w:r>
          </w:p>
        </w:tc>
        <w:tc>
          <w:tcPr>
            <w:tcW w:w="1665" w:type="pct"/>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875,305.79</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宋体" w:hAnsi="宋体" w:eastAsia="宋体" w:cs="宋体"/>
                <w:color w:val="000000"/>
                <w:kern w:val="2"/>
                <w:sz w:val="20"/>
                <w:szCs w:val="20"/>
                <w:lang w:val="en-US" w:eastAsia="zh-CN" w:bidi="ar"/>
              </w:rPr>
            </w:pPr>
            <w:r>
              <w:rPr>
                <w:rFonts w:hint="eastAsia" w:ascii="宋体" w:hAnsi="宋体" w:eastAsia="宋体" w:cs="宋体"/>
                <w:color w:val="000000"/>
                <w:kern w:val="2"/>
                <w:sz w:val="20"/>
                <w:szCs w:val="20"/>
                <w:lang w:val="en-US" w:eastAsia="zh-CN" w:bidi="ar"/>
              </w:rPr>
              <w:t>市国资委</w:t>
            </w:r>
          </w:p>
        </w:tc>
        <w:tc>
          <w:tcPr>
            <w:tcW w:w="1665" w:type="pct"/>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3300"/>
                <w:kern w:val="2"/>
                <w:sz w:val="22"/>
                <w:szCs w:val="22"/>
                <w:u w:val="none"/>
                <w:lang w:val="en-US" w:eastAsia="zh-CN" w:bidi="ar-SA"/>
              </w:rPr>
            </w:pPr>
            <w:r>
              <w:rPr>
                <w:rFonts w:hint="eastAsia" w:ascii="宋体" w:hAnsi="宋体" w:eastAsia="宋体" w:cs="宋体"/>
                <w:i w:val="0"/>
                <w:iCs w:val="0"/>
                <w:color w:val="003300"/>
                <w:kern w:val="0"/>
                <w:sz w:val="22"/>
                <w:szCs w:val="22"/>
                <w:u w:val="none"/>
                <w:lang w:val="en-US" w:eastAsia="zh-CN" w:bidi="ar"/>
              </w:rPr>
              <w:t>976,670.63</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美兰区农村局</w:t>
            </w:r>
          </w:p>
        </w:tc>
        <w:tc>
          <w:tcPr>
            <w:tcW w:w="2776"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2,000,000.00</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65" w:type="pct"/>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665" w:type="pct"/>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b/>
                <w:bCs/>
                <w:color w:val="000000"/>
                <w:sz w:val="22"/>
                <w:szCs w:val="22"/>
                <w:lang w:val="en-US" w:eastAsia="zh-CN"/>
              </w:rPr>
              <w:fldChar w:fldCharType="begin"/>
            </w:r>
            <w:r>
              <w:rPr>
                <w:rFonts w:hint="eastAsia" w:ascii="宋体" w:hAnsi="宋体" w:eastAsia="宋体" w:cs="宋体"/>
                <w:b/>
                <w:bCs/>
                <w:color w:val="000000"/>
                <w:sz w:val="22"/>
                <w:szCs w:val="22"/>
                <w:lang w:val="en-US" w:eastAsia="zh-CN"/>
              </w:rPr>
              <w:instrText xml:space="preserve"> = sum(B2:B5) \* MERGEFORMAT </w:instrText>
            </w:r>
            <w:r>
              <w:rPr>
                <w:rFonts w:hint="eastAsia" w:ascii="宋体" w:hAnsi="宋体" w:eastAsia="宋体" w:cs="宋体"/>
                <w:b/>
                <w:bCs/>
                <w:color w:val="000000"/>
                <w:sz w:val="22"/>
                <w:szCs w:val="22"/>
                <w:lang w:val="en-US" w:eastAsia="zh-CN"/>
              </w:rPr>
              <w:fldChar w:fldCharType="separate"/>
            </w:r>
            <w:r>
              <w:rPr>
                <w:rFonts w:hint="eastAsia" w:ascii="宋体" w:hAnsi="宋体" w:eastAsia="宋体" w:cs="宋体"/>
                <w:b/>
                <w:bCs/>
                <w:color w:val="000000"/>
                <w:sz w:val="22"/>
                <w:szCs w:val="22"/>
                <w:lang w:val="en-US" w:eastAsia="zh-CN"/>
              </w:rPr>
              <w:t>3,851,976.42</w:t>
            </w:r>
            <w:r>
              <w:rPr>
                <w:rFonts w:hint="eastAsia" w:ascii="宋体" w:hAnsi="宋体" w:eastAsia="宋体" w:cs="宋体"/>
                <w:b/>
                <w:bCs/>
                <w:color w:val="000000"/>
                <w:sz w:val="22"/>
                <w:szCs w:val="22"/>
                <w:lang w:val="en-US" w:eastAsia="zh-CN"/>
              </w:rPr>
              <w:fldChar w:fldCharType="end"/>
            </w:r>
          </w:p>
        </w:tc>
        <w:tc>
          <w:tcPr>
            <w:tcW w:w="1669" w:type="pct"/>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b/>
                <w:bCs w:val="0"/>
                <w:color w:val="000000"/>
                <w:kern w:val="2"/>
                <w:sz w:val="22"/>
                <w:szCs w:val="22"/>
              </w:rPr>
            </w:pPr>
            <w:r>
              <w:rPr>
                <w:rFonts w:hint="eastAsia" w:ascii="宋体" w:hAnsi="宋体" w:eastAsia="宋体" w:cs="宋体"/>
                <w:b/>
                <w:bCs/>
                <w:color w:val="000000"/>
                <w:sz w:val="22"/>
                <w:szCs w:val="22"/>
              </w:rPr>
              <w:t>4,442,078.22</w:t>
            </w:r>
          </w:p>
        </w:tc>
      </w:tr>
    </w:tbl>
    <w:p>
      <w:pPr>
        <w:keepNext w:val="0"/>
        <w:keepLines w:val="0"/>
        <w:widowControl w:val="0"/>
        <w:suppressLineNumbers w:val="0"/>
        <w:autoSpaceDE w:val="0"/>
        <w:autoSpaceDN/>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（十八）实收资本</w:t>
      </w:r>
    </w:p>
    <w:tbl>
      <w:tblPr>
        <w:tblStyle w:val="5"/>
        <w:tblW w:w="8435"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909"/>
        <w:gridCol w:w="1631"/>
        <w:gridCol w:w="1631"/>
        <w:gridCol w:w="1631"/>
        <w:gridCol w:w="163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cantSplit/>
          <w:trHeight w:val="536" w:hRule="atLeast"/>
          <w:jc w:val="center"/>
        </w:trPr>
        <w:tc>
          <w:tcPr>
            <w:tcW w:w="1909" w:type="dxa"/>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投资者名称</w:t>
            </w:r>
          </w:p>
        </w:tc>
        <w:tc>
          <w:tcPr>
            <w:tcW w:w="1631"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631"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631"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633" w:type="dxa"/>
            <w:tcBorders>
              <w:top w:val="single" w:color="auto" w:sz="12" w:space="0"/>
              <w:left w:val="single"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jc w:val="center"/>
        </w:trPr>
        <w:tc>
          <w:tcPr>
            <w:tcW w:w="1909"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autoSpaceDE w:val="0"/>
              <w:autoSpaceDN w:val="0"/>
              <w:spacing w:before="0" w:beforeAutospacing="0" w:after="0" w:afterAutospacing="0"/>
              <w:ind w:left="0" w:right="0"/>
              <w:jc w:val="both"/>
              <w:rPr>
                <w:rFonts w:hint="eastAsia" w:ascii="宋体" w:hAnsi="宋体" w:eastAsia="宋体" w:cs="宋体"/>
                <w:color w:val="000000"/>
                <w:spacing w:val="6"/>
                <w:kern w:val="2"/>
                <w:sz w:val="21"/>
                <w:szCs w:val="21"/>
              </w:rPr>
            </w:pPr>
            <w:r>
              <w:rPr>
                <w:rFonts w:hint="eastAsia" w:ascii="宋体" w:hAnsi="宋体" w:eastAsia="宋体" w:cs="宋体"/>
                <w:color w:val="000000"/>
                <w:spacing w:val="6"/>
                <w:kern w:val="2"/>
                <w:sz w:val="21"/>
                <w:szCs w:val="21"/>
                <w:lang w:val="en-US" w:eastAsia="zh-CN" w:bidi="ar"/>
              </w:rPr>
              <w:t>海口市国有资产监督管理委员会</w:t>
            </w:r>
          </w:p>
        </w:tc>
        <w:tc>
          <w:tcPr>
            <w:tcW w:w="1631"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50,000,000.00</w:t>
            </w:r>
          </w:p>
        </w:tc>
        <w:tc>
          <w:tcPr>
            <w:tcW w:w="1631"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100,000,000.00</w:t>
            </w:r>
          </w:p>
        </w:tc>
        <w:tc>
          <w:tcPr>
            <w:tcW w:w="1631"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w:t>
            </w:r>
          </w:p>
        </w:tc>
        <w:tc>
          <w:tcPr>
            <w:tcW w:w="1633"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150,000,000.00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62" w:hRule="atLeast"/>
          <w:jc w:val="center"/>
        </w:trPr>
        <w:tc>
          <w:tcPr>
            <w:tcW w:w="1909" w:type="dxa"/>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1631"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50,000,000.00</w:t>
            </w:r>
          </w:p>
        </w:tc>
        <w:tc>
          <w:tcPr>
            <w:tcW w:w="1631"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t>100,000,000.00</w:t>
            </w:r>
          </w:p>
        </w:tc>
        <w:tc>
          <w:tcPr>
            <w:tcW w:w="1631"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t>-</w:t>
            </w:r>
          </w:p>
        </w:tc>
        <w:tc>
          <w:tcPr>
            <w:tcW w:w="1633"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150,000,000.00</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注：本期增加1,000,000,000.00元系根据市国资委文件（海国资产权[2022]6号） 三江发控公司资本公积转增注册资本金。</w:t>
      </w:r>
    </w:p>
    <w:p>
      <w:pPr>
        <w:keepNext w:val="0"/>
        <w:keepLines w:val="0"/>
        <w:widowControl w:val="0"/>
        <w:suppressLineNumbers w:val="0"/>
        <w:autoSpaceDE w:val="0"/>
        <w:autoSpaceDN/>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（十九）资本公积</w:t>
      </w:r>
    </w:p>
    <w:tbl>
      <w:tblPr>
        <w:tblStyle w:val="5"/>
        <w:tblW w:w="8492"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468"/>
        <w:gridCol w:w="1756"/>
        <w:gridCol w:w="1756"/>
        <w:gridCol w:w="1756"/>
        <w:gridCol w:w="175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cantSplit/>
          <w:trHeight w:val="405" w:hRule="atLeast"/>
          <w:jc w:val="center"/>
        </w:trPr>
        <w:tc>
          <w:tcPr>
            <w:tcW w:w="1468" w:type="dxa"/>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1756"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756"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w:t>
            </w:r>
          </w:p>
        </w:tc>
        <w:tc>
          <w:tcPr>
            <w:tcW w:w="1756"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w:t>
            </w:r>
          </w:p>
        </w:tc>
        <w:tc>
          <w:tcPr>
            <w:tcW w:w="1756" w:type="dxa"/>
            <w:tcBorders>
              <w:top w:val="single" w:color="auto" w:sz="12"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cantSplit/>
          <w:trHeight w:val="405" w:hRule="atLeast"/>
          <w:jc w:val="center"/>
        </w:trPr>
        <w:tc>
          <w:tcPr>
            <w:tcW w:w="1468" w:type="dxa"/>
            <w:tcBorders>
              <w:top w:val="dotted" w:color="auto" w:sz="4"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其他资本公积</w:t>
            </w:r>
          </w:p>
        </w:tc>
        <w:tc>
          <w:tcPr>
            <w:tcW w:w="1756"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kern w:val="2"/>
                <w:sz w:val="22"/>
                <w:szCs w:val="22"/>
              </w:rPr>
            </w:pPr>
            <w:r>
              <w:rPr>
                <w:rFonts w:hint="eastAsia" w:ascii="宋体" w:hAnsi="宋体" w:eastAsia="宋体" w:cs="宋体"/>
                <w:b w:val="0"/>
                <w:bCs w:val="0"/>
                <w:color w:val="000000"/>
                <w:kern w:val="0"/>
                <w:sz w:val="22"/>
                <w:szCs w:val="22"/>
                <w:lang w:val="en-US" w:eastAsia="zh-CN" w:bidi="ar"/>
              </w:rPr>
              <w:t>974,465,317.06</w:t>
            </w:r>
          </w:p>
        </w:tc>
        <w:tc>
          <w:tcPr>
            <w:tcW w:w="1756"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w:t>
            </w:r>
          </w:p>
        </w:tc>
        <w:tc>
          <w:tcPr>
            <w:tcW w:w="1756"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100,000,000.00</w:t>
            </w:r>
          </w:p>
        </w:tc>
        <w:tc>
          <w:tcPr>
            <w:tcW w:w="1756"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2"/>
                <w:szCs w:val="22"/>
              </w:rPr>
            </w:pPr>
            <w:r>
              <w:rPr>
                <w:rFonts w:hint="eastAsia" w:ascii="宋体" w:hAnsi="宋体" w:eastAsia="宋体" w:cs="宋体"/>
                <w:b w:val="0"/>
                <w:bCs w:val="0"/>
                <w:i w:val="0"/>
                <w:iCs w:val="0"/>
                <w:color w:val="000000"/>
                <w:kern w:val="0"/>
                <w:sz w:val="22"/>
                <w:szCs w:val="22"/>
                <w:u w:val="none"/>
                <w:lang w:val="en-US" w:eastAsia="zh-CN" w:bidi="ar"/>
              </w:rPr>
              <w:t>874,465,317.06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cantSplit/>
          <w:trHeight w:val="457" w:hRule="atLeast"/>
          <w:jc w:val="center"/>
        </w:trPr>
        <w:tc>
          <w:tcPr>
            <w:tcW w:w="1468" w:type="dxa"/>
            <w:tcBorders>
              <w:top w:val="dotted"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1756"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kern w:val="0"/>
                <w:sz w:val="22"/>
                <w:szCs w:val="22"/>
              </w:rPr>
            </w:pPr>
            <w:r>
              <w:rPr>
                <w:rFonts w:hint="eastAsia" w:ascii="宋体" w:hAnsi="宋体" w:eastAsia="宋体" w:cs="宋体"/>
                <w:b/>
                <w:bCs/>
                <w:color w:val="000000"/>
                <w:kern w:val="0"/>
                <w:sz w:val="22"/>
                <w:szCs w:val="22"/>
                <w:lang w:val="en-US" w:eastAsia="zh-CN" w:bidi="ar"/>
              </w:rPr>
              <w:t>974,465,317.06</w:t>
            </w:r>
          </w:p>
        </w:tc>
        <w:tc>
          <w:tcPr>
            <w:tcW w:w="1756"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w:t>
            </w:r>
          </w:p>
        </w:tc>
        <w:tc>
          <w:tcPr>
            <w:tcW w:w="1756"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100,000,000.00</w:t>
            </w:r>
          </w:p>
        </w:tc>
        <w:tc>
          <w:tcPr>
            <w:tcW w:w="1756"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874,465,317.06</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注：本期减少1,000,000,000.00元系根据市国资委文件（海国资产权[2022]6号） 三江发控公司资本公积转增注册资本金。</w:t>
      </w:r>
    </w:p>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（二十）未分配利润</w:t>
      </w:r>
    </w:p>
    <w:tbl>
      <w:tblPr>
        <w:tblStyle w:val="5"/>
        <w:tblW w:w="5033" w:type="pct"/>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5732"/>
        <w:gridCol w:w="2629"/>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single" w:color="auto" w:sz="12"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项目 </w:t>
            </w:r>
          </w:p>
        </w:tc>
        <w:tc>
          <w:tcPr>
            <w:tcW w:w="1572" w:type="pct"/>
            <w:tcBorders>
              <w:top w:val="single" w:color="auto" w:sz="12" w:space="0"/>
              <w:left w:val="single" w:color="auto" w:sz="4" w:space="0"/>
              <w:bottom w:val="dotted" w:color="auto" w:sz="4" w:space="0"/>
              <w:right w:val="nil"/>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上年年末余额</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lang w:val="en-US" w:eastAsia="zh-CN" w:bidi="ar"/>
              </w:rPr>
              <w:t>3,454,636.10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34"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加：前期差错更正</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firstLine="105" w:firstLineChars="5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年初余额</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3,454,636.10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本期增加数</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default" w:ascii="宋体" w:hAnsi="宋体" w:eastAsia="宋体" w:cs="宋体"/>
                <w:i w:val="0"/>
                <w:iCs w:val="0"/>
                <w:color w:val="000000"/>
                <w:kern w:val="0"/>
                <w:sz w:val="22"/>
                <w:szCs w:val="22"/>
                <w:lang w:val="en-US" w:eastAsia="zh-CN" w:bidi="ar"/>
              </w:rPr>
              <w:t xml:space="preserve"> 772,713.21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其中：本年净利润转入</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default" w:ascii="宋体" w:hAnsi="宋体" w:eastAsia="宋体" w:cs="宋体"/>
                <w:i w:val="0"/>
                <w:iCs w:val="0"/>
                <w:color w:val="000000"/>
                <w:kern w:val="0"/>
                <w:sz w:val="22"/>
                <w:szCs w:val="22"/>
                <w:lang w:val="en-US" w:eastAsia="zh-CN" w:bidi="ar"/>
              </w:rPr>
              <w:t xml:space="preserve"> 772,713.21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本期减少数</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default" w:ascii="宋体" w:hAnsi="宋体" w:eastAsia="宋体" w:cs="宋体"/>
                <w:i w:val="0"/>
                <w:iCs w:val="0"/>
                <w:color w:val="000000"/>
                <w:kern w:val="0"/>
                <w:sz w:val="22"/>
                <w:szCs w:val="22"/>
                <w:lang w:val="en-US" w:eastAsia="zh-CN" w:bidi="ar"/>
              </w:rPr>
              <w:t xml:space="preserve">371,400.00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firstLine="525" w:firstLineChars="25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其中：提取法定盈余公积金</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firstLine="1155" w:firstLineChars="55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对所有者（或股东）的分配</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default" w:ascii="宋体" w:hAnsi="宋体" w:eastAsia="宋体" w:cs="宋体"/>
                <w:i w:val="0"/>
                <w:iCs w:val="0"/>
                <w:color w:val="000000"/>
                <w:kern w:val="0"/>
                <w:sz w:val="22"/>
                <w:szCs w:val="22"/>
                <w:lang w:val="en-US" w:eastAsia="zh-CN" w:bidi="ar"/>
              </w:rPr>
              <w:t xml:space="preserve">371,400.00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jc w:val="center"/>
        </w:trPr>
        <w:tc>
          <w:tcPr>
            <w:tcW w:w="3427" w:type="pct"/>
            <w:tcBorders>
              <w:top w:val="dotted" w:color="auto" w:sz="4" w:space="0"/>
              <w:left w:val="nil"/>
              <w:bottom w:val="single" w:color="auto" w:sz="12"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本期期末余额</w:t>
            </w:r>
          </w:p>
        </w:tc>
        <w:tc>
          <w:tcPr>
            <w:tcW w:w="1572" w:type="pct"/>
            <w:tcBorders>
              <w:top w:val="dotted" w:color="auto" w:sz="4" w:space="0"/>
              <w:left w:val="single" w:color="auto" w:sz="4" w:space="0"/>
              <w:bottom w:val="single" w:color="auto" w:sz="12"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lang w:val="en-US" w:eastAsia="zh-CN" w:bidi="ar"/>
              </w:rPr>
            </w:pPr>
            <w:r>
              <w:rPr>
                <w:rFonts w:hint="eastAsia" w:ascii="宋体" w:hAnsi="宋体" w:eastAsia="宋体" w:cs="宋体"/>
                <w:b/>
                <w:bCs/>
                <w:i w:val="0"/>
                <w:iCs w:val="0"/>
                <w:color w:val="000000"/>
                <w:kern w:val="0"/>
                <w:sz w:val="22"/>
                <w:szCs w:val="22"/>
                <w:lang w:val="en-US" w:eastAsia="zh-CN" w:bidi="ar"/>
              </w:rPr>
              <w:t xml:space="preserve">3,855,949.31 </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default" w:ascii="Times New Roman" w:hAnsi="Times New Roman" w:cs="Times New Roman"/>
          <w:color w:val="000000" w:themeColor="text1"/>
          <w:kern w:val="2"/>
          <w:sz w:val="24"/>
          <w:szCs w:val="24"/>
          <w:highlight w:val="red"/>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注：</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年</w:t>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月,上缴国有资本经营收益</w:t>
      </w:r>
      <w:r>
        <w:rPr>
          <w:rFonts w:hint="default" w:ascii="宋体" w:hAnsi="宋体" w:eastAsia="宋体" w:cs="宋体"/>
          <w:color w:val="000000" w:themeColor="text1"/>
          <w:kern w:val="0"/>
          <w:sz w:val="24"/>
          <w:szCs w:val="24"/>
          <w:lang w:val="en-US" w:eastAsia="zh-CN" w:bidi="ar"/>
          <w14:textFill>
            <w14:solidFill>
              <w14:schemeClr w14:val="tx1"/>
            </w14:solidFill>
          </w14:textFill>
        </w:rPr>
        <w:t xml:space="preserve">371,400.00 </w:t>
      </w:r>
      <w:r>
        <w:rPr>
          <w:rFonts w:hint="eastAsia" w:ascii="宋体" w:hAnsi="宋体" w:eastAsia="宋体" w:cs="宋体"/>
          <w:color w:val="000000" w:themeColor="text1"/>
          <w:kern w:val="0"/>
          <w:sz w:val="24"/>
          <w:szCs w:val="24"/>
          <w:lang w:val="en-US" w:eastAsia="zh-CN" w:bidi="ar"/>
          <w14:textFill>
            <w14:solidFill>
              <w14:schemeClr w14:val="tx1"/>
            </w14:solidFill>
          </w14:textFill>
        </w:rPr>
        <w:t>元。</w:t>
      </w:r>
    </w:p>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（二十一）营业收入</w:t>
      </w:r>
    </w:p>
    <w:tbl>
      <w:tblPr>
        <w:tblStyle w:val="5"/>
        <w:tblW w:w="8571"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4102"/>
        <w:gridCol w:w="2234"/>
        <w:gridCol w:w="2235"/>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234"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235"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一、主营业务收入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19</w:t>
            </w:r>
            <w:r>
              <w:rPr>
                <w:rFonts w:hint="eastAsia" w:ascii="宋体" w:hAnsi="宋体" w:eastAsia="宋体" w:cs="宋体"/>
                <w:b/>
                <w:bCs/>
                <w:kern w:val="0"/>
                <w:sz w:val="21"/>
                <w:szCs w:val="21"/>
                <w:lang w:val="en-US" w:eastAsia="zh-CN"/>
              </w:rPr>
              <w:t>,</w:t>
            </w:r>
            <w:r>
              <w:rPr>
                <w:rFonts w:hint="eastAsia" w:ascii="宋体" w:hAnsi="宋体" w:eastAsia="宋体" w:cs="宋体"/>
                <w:b/>
                <w:bCs/>
                <w:kern w:val="0"/>
                <w:sz w:val="21"/>
                <w:szCs w:val="21"/>
              </w:rPr>
              <w:t>309</w:t>
            </w:r>
            <w:r>
              <w:rPr>
                <w:rFonts w:hint="eastAsia" w:ascii="宋体" w:hAnsi="宋体" w:eastAsia="宋体" w:cs="宋体"/>
                <w:b/>
                <w:bCs/>
                <w:kern w:val="0"/>
                <w:sz w:val="21"/>
                <w:szCs w:val="21"/>
                <w:lang w:val="en-US" w:eastAsia="zh-CN"/>
              </w:rPr>
              <w:t>,</w:t>
            </w:r>
            <w:r>
              <w:rPr>
                <w:rFonts w:hint="eastAsia" w:ascii="宋体" w:hAnsi="宋体" w:eastAsia="宋体" w:cs="宋体"/>
                <w:b/>
                <w:bCs/>
                <w:kern w:val="0"/>
                <w:sz w:val="21"/>
                <w:szCs w:val="21"/>
              </w:rPr>
              <w:t>641.78</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16</w:t>
            </w:r>
            <w:r>
              <w:rPr>
                <w:rFonts w:hint="eastAsia" w:ascii="宋体" w:hAnsi="宋体" w:eastAsia="宋体" w:cs="宋体"/>
                <w:b/>
                <w:bCs/>
                <w:kern w:val="0"/>
                <w:sz w:val="21"/>
                <w:szCs w:val="21"/>
                <w:lang w:val="en-US" w:eastAsia="zh-CN"/>
              </w:rPr>
              <w:t>,</w:t>
            </w:r>
            <w:r>
              <w:rPr>
                <w:rFonts w:hint="eastAsia" w:ascii="宋体" w:hAnsi="宋体" w:eastAsia="宋体" w:cs="宋体"/>
                <w:b/>
                <w:bCs/>
                <w:kern w:val="0"/>
                <w:sz w:val="21"/>
                <w:szCs w:val="21"/>
              </w:rPr>
              <w:t>603</w:t>
            </w:r>
            <w:r>
              <w:rPr>
                <w:rFonts w:hint="eastAsia" w:ascii="宋体" w:hAnsi="宋体" w:eastAsia="宋体" w:cs="宋体"/>
                <w:b/>
                <w:bCs/>
                <w:kern w:val="0"/>
                <w:sz w:val="21"/>
                <w:szCs w:val="21"/>
                <w:lang w:val="en-US" w:eastAsia="zh-CN"/>
              </w:rPr>
              <w:t>,</w:t>
            </w:r>
            <w:r>
              <w:rPr>
                <w:rFonts w:hint="eastAsia" w:ascii="宋体" w:hAnsi="宋体" w:eastAsia="宋体" w:cs="宋体"/>
                <w:b/>
                <w:bCs/>
                <w:kern w:val="0"/>
                <w:sz w:val="21"/>
                <w:szCs w:val="21"/>
              </w:rPr>
              <w:t>978.75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其中：物业管理收入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5,152,523.17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6,264,140.63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管理与养护费收入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2,494,237.72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1,335,896.23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农业收入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342,126.13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407,181.63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资产管理</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11,320,754.76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8,571,828.93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经营收入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24,931.33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二、其它业务收入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t>800,938.89</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t>1,505,599.98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其他：代建管理</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184,465.69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1,490,462.37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i w:val="0"/>
                <w:color w:val="000000"/>
                <w:kern w:val="2"/>
                <w:sz w:val="21"/>
                <w:szCs w:val="21"/>
                <w:lang w:val="en-US" w:eastAsia="zh-CN" w:bidi="ar"/>
              </w:rPr>
              <w:t>土地租金收入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317,297.24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15,137.61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1100" w:firstLineChars="50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瓜菜合作种植收益</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299,175.96 </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234"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fldChar w:fldCharType="begin"/>
            </w:r>
            <w:r>
              <w:rPr>
                <w:rFonts w:hint="eastAsia" w:ascii="宋体" w:hAnsi="宋体" w:eastAsia="宋体" w:cs="宋体"/>
                <w:b/>
                <w:bCs/>
                <w:kern w:val="0"/>
                <w:sz w:val="22"/>
                <w:szCs w:val="22"/>
                <w:lang w:val="en-US" w:eastAsia="zh-CN" w:bidi="ar"/>
              </w:rPr>
              <w:instrText xml:space="preserve"> = sum(B3:B11) \* MERGEFORMAT </w:instrText>
            </w:r>
            <w:r>
              <w:rPr>
                <w:rFonts w:hint="eastAsia" w:ascii="宋体" w:hAnsi="宋体" w:eastAsia="宋体" w:cs="宋体"/>
                <w:b/>
                <w:bCs/>
                <w:kern w:val="0"/>
                <w:sz w:val="22"/>
                <w:szCs w:val="22"/>
                <w:lang w:val="en-US" w:eastAsia="zh-CN" w:bidi="ar"/>
              </w:rPr>
              <w:fldChar w:fldCharType="separate"/>
            </w:r>
            <w:r>
              <w:rPr>
                <w:rFonts w:hint="eastAsia" w:ascii="宋体" w:hAnsi="宋体" w:eastAsia="宋体" w:cs="宋体"/>
                <w:b/>
                <w:bCs/>
                <w:kern w:val="0"/>
                <w:sz w:val="22"/>
                <w:szCs w:val="22"/>
                <w:lang w:val="en-US" w:eastAsia="zh-CN" w:bidi="ar"/>
              </w:rPr>
              <w:t>20,110,580.67</w:t>
            </w:r>
            <w:r>
              <w:rPr>
                <w:rFonts w:hint="eastAsia" w:ascii="宋体" w:hAnsi="宋体" w:eastAsia="宋体" w:cs="宋体"/>
                <w:b/>
                <w:bCs/>
                <w:kern w:val="0"/>
                <w:sz w:val="22"/>
                <w:szCs w:val="22"/>
                <w:lang w:val="en-US" w:eastAsia="zh-CN" w:bidi="ar"/>
              </w:rPr>
              <w:fldChar w:fldCharType="end"/>
            </w:r>
          </w:p>
        </w:tc>
        <w:tc>
          <w:tcPr>
            <w:tcW w:w="2235"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t>18,109,578.73</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（二十二）营业成本</w:t>
      </w:r>
    </w:p>
    <w:tbl>
      <w:tblPr>
        <w:tblStyle w:val="5"/>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人工薪酬成本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4,507,765.20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3,925,121.90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日常费用</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194,074.78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52,174.54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营业成本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307,150.22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862,946.39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车辆费用</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751,044.30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500,370.15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低值易耗品</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172,458.40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245,546.76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瓜菜合作土地租赁成本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235,304.16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农业成本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704,666.77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588,247.97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登报费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3,433.96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color w:val="000000"/>
                <w:kern w:val="0"/>
                <w:sz w:val="22"/>
                <w:szCs w:val="22"/>
              </w:rPr>
            </w:pPr>
            <w:r>
              <w:rPr>
                <w:rFonts w:hint="eastAsia" w:ascii="宋体" w:hAnsi="宋体" w:eastAsia="宋体" w:cs="宋体"/>
                <w:kern w:val="0"/>
                <w:sz w:val="22"/>
                <w:szCs w:val="22"/>
                <w:lang w:val="en-US" w:eastAsia="zh-CN" w:bidi="ar"/>
              </w:rPr>
              <w:t>1,716.98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评估咨询费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color w:val="000000"/>
                <w:kern w:val="0"/>
                <w:sz w:val="22"/>
                <w:szCs w:val="22"/>
              </w:rPr>
            </w:pPr>
            <w:r>
              <w:rPr>
                <w:rFonts w:hint="eastAsia" w:ascii="宋体" w:hAnsi="宋体" w:eastAsia="宋体" w:cs="宋体"/>
                <w:kern w:val="0"/>
                <w:sz w:val="22"/>
                <w:szCs w:val="22"/>
                <w:lang w:val="en-US" w:eastAsia="zh-CN" w:bidi="ar"/>
              </w:rPr>
              <w:t>59,544.83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测绘费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 xml:space="preserve">7,261.32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fldChar w:fldCharType="begin"/>
            </w:r>
            <w:r>
              <w:rPr>
                <w:rFonts w:hint="eastAsia" w:ascii="宋体" w:hAnsi="宋体" w:eastAsia="宋体" w:cs="宋体"/>
                <w:b/>
                <w:bCs/>
                <w:kern w:val="0"/>
                <w:sz w:val="22"/>
                <w:szCs w:val="22"/>
              </w:rPr>
              <w:instrText xml:space="preserve"> = sum(B2:B11) \* MERGEFORMAT </w:instrText>
            </w:r>
            <w:r>
              <w:rPr>
                <w:rFonts w:hint="eastAsia" w:ascii="宋体" w:hAnsi="宋体" w:eastAsia="宋体" w:cs="宋体"/>
                <w:b/>
                <w:bCs/>
                <w:kern w:val="0"/>
                <w:sz w:val="22"/>
                <w:szCs w:val="22"/>
              </w:rPr>
              <w:fldChar w:fldCharType="separate"/>
            </w:r>
            <w:r>
              <w:rPr>
                <w:rFonts w:hint="eastAsia" w:ascii="宋体" w:hAnsi="宋体" w:eastAsia="宋体" w:cs="宋体"/>
                <w:b/>
                <w:bCs/>
                <w:kern w:val="0"/>
                <w:sz w:val="22"/>
                <w:szCs w:val="22"/>
              </w:rPr>
              <w:t>6</w:t>
            </w:r>
            <w:r>
              <w:rPr>
                <w:rFonts w:hint="eastAsia" w:ascii="宋体" w:hAnsi="宋体" w:eastAsia="宋体" w:cs="宋体"/>
                <w:b/>
                <w:bCs/>
                <w:kern w:val="0"/>
                <w:sz w:val="22"/>
                <w:szCs w:val="22"/>
                <w:lang w:val="en-US" w:eastAsia="zh-CN"/>
              </w:rPr>
              <w:t>,</w:t>
            </w:r>
            <w:r>
              <w:rPr>
                <w:rFonts w:hint="eastAsia" w:ascii="宋体" w:hAnsi="宋体" w:eastAsia="宋体" w:cs="宋体"/>
                <w:b/>
                <w:bCs/>
                <w:kern w:val="0"/>
                <w:sz w:val="22"/>
                <w:szCs w:val="22"/>
              </w:rPr>
              <w:t>883</w:t>
            </w:r>
            <w:r>
              <w:rPr>
                <w:rFonts w:hint="eastAsia" w:ascii="宋体" w:hAnsi="宋体" w:eastAsia="宋体" w:cs="宋体"/>
                <w:b/>
                <w:bCs/>
                <w:kern w:val="0"/>
                <w:sz w:val="22"/>
                <w:szCs w:val="22"/>
                <w:lang w:val="en-US" w:eastAsia="zh-CN"/>
              </w:rPr>
              <w:t>,</w:t>
            </w:r>
            <w:r>
              <w:rPr>
                <w:rFonts w:hint="eastAsia" w:ascii="宋体" w:hAnsi="宋体" w:eastAsia="宋体" w:cs="宋体"/>
                <w:b/>
                <w:bCs/>
                <w:kern w:val="0"/>
                <w:sz w:val="22"/>
                <w:szCs w:val="22"/>
              </w:rPr>
              <w:t>159.11</w:t>
            </w:r>
            <w:r>
              <w:rPr>
                <w:rFonts w:hint="eastAsia" w:ascii="宋体" w:hAnsi="宋体" w:eastAsia="宋体" w:cs="宋体"/>
                <w:b/>
                <w:bCs/>
                <w:kern w:val="0"/>
                <w:sz w:val="22"/>
                <w:szCs w:val="22"/>
              </w:rPr>
              <w:fldChar w:fldCharType="end"/>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6,235,669.52</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（二十三）税金及附加</w:t>
      </w:r>
    </w:p>
    <w:tbl>
      <w:tblPr>
        <w:tblStyle w:val="5"/>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税种项目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城市维护建设税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57,198.25</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60,058.42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教育费附加</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26,005.61</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15,216.01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地方教育费附加</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17,337.05</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10,144.02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房产税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15,634.00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3,908.50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土地使用税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135,421.04</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33,855.26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印花税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257,279.90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2"/>
                <w:sz w:val="22"/>
                <w:szCs w:val="22"/>
                <w:u w:val="none"/>
                <w:lang w:val="en-US" w:eastAsia="zh-CN" w:bidi="ar-SA"/>
              </w:rPr>
              <w:fldChar w:fldCharType="begin"/>
            </w:r>
            <w:r>
              <w:rPr>
                <w:rFonts w:hint="eastAsia" w:ascii="宋体" w:hAnsi="宋体" w:eastAsia="宋体" w:cs="宋体"/>
                <w:b/>
                <w:bCs/>
                <w:i w:val="0"/>
                <w:iCs w:val="0"/>
                <w:color w:val="000000"/>
                <w:kern w:val="2"/>
                <w:sz w:val="22"/>
                <w:szCs w:val="22"/>
                <w:u w:val="none"/>
                <w:lang w:val="en-US" w:eastAsia="zh-CN" w:bidi="ar-SA"/>
              </w:rPr>
              <w:instrText xml:space="preserve"> = sum(B2:B7) \* MERGEFORMAT </w:instrText>
            </w:r>
            <w:r>
              <w:rPr>
                <w:rFonts w:hint="eastAsia" w:ascii="宋体" w:hAnsi="宋体" w:eastAsia="宋体" w:cs="宋体"/>
                <w:b/>
                <w:bCs/>
                <w:i w:val="0"/>
                <w:iCs w:val="0"/>
                <w:color w:val="000000"/>
                <w:kern w:val="2"/>
                <w:sz w:val="22"/>
                <w:szCs w:val="22"/>
                <w:u w:val="none"/>
                <w:lang w:val="en-US" w:eastAsia="zh-CN" w:bidi="ar-SA"/>
              </w:rPr>
              <w:fldChar w:fldCharType="separate"/>
            </w:r>
            <w:r>
              <w:rPr>
                <w:rFonts w:hint="eastAsia" w:ascii="宋体" w:hAnsi="宋体" w:eastAsia="宋体" w:cs="宋体"/>
                <w:b/>
                <w:bCs/>
                <w:i w:val="0"/>
                <w:iCs w:val="0"/>
                <w:color w:val="000000"/>
                <w:kern w:val="2"/>
                <w:sz w:val="22"/>
                <w:szCs w:val="22"/>
                <w:u w:val="none"/>
                <w:lang w:val="en-US" w:eastAsia="zh-CN" w:bidi="ar-SA"/>
              </w:rPr>
              <w:t>508,875.85</w:t>
            </w:r>
            <w:r>
              <w:rPr>
                <w:rFonts w:hint="eastAsia" w:ascii="宋体" w:hAnsi="宋体" w:eastAsia="宋体" w:cs="宋体"/>
                <w:b/>
                <w:bCs/>
                <w:i w:val="0"/>
                <w:iCs w:val="0"/>
                <w:color w:val="000000"/>
                <w:kern w:val="2"/>
                <w:sz w:val="22"/>
                <w:szCs w:val="22"/>
                <w:u w:val="none"/>
                <w:lang w:val="en-US" w:eastAsia="zh-CN" w:bidi="ar-SA"/>
              </w:rPr>
              <w:fldChar w:fldCharType="end"/>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123,182.21</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（二十四）销售费用</w:t>
      </w:r>
    </w:p>
    <w:tbl>
      <w:tblPr>
        <w:tblStyle w:val="5"/>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差旅费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1,596.00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420.00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运输费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648.00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468.00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广告宣传费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368.00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手续费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579.23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bidi="ar"/>
              </w:rPr>
              <w:t>140.74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工资</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165,539.85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职工福利</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752.00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社会保险</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28,450.00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12,384.00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办公费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2,971.00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54"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摊销性费用</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6,138.24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fldChar w:fldCharType="begin"/>
            </w:r>
            <w:r>
              <w:rPr>
                <w:rFonts w:hint="eastAsia" w:ascii="宋体" w:hAnsi="宋体" w:eastAsia="宋体" w:cs="宋体"/>
                <w:b/>
                <w:bCs/>
                <w:kern w:val="0"/>
                <w:sz w:val="22"/>
                <w:szCs w:val="22"/>
              </w:rPr>
              <w:instrText xml:space="preserve"> = sum(B2:B11) \* MERGEFORMAT </w:instrText>
            </w:r>
            <w:r>
              <w:rPr>
                <w:rFonts w:hint="eastAsia" w:ascii="宋体" w:hAnsi="宋体" w:eastAsia="宋体" w:cs="宋体"/>
                <w:b/>
                <w:bCs/>
                <w:kern w:val="0"/>
                <w:sz w:val="22"/>
                <w:szCs w:val="22"/>
              </w:rPr>
              <w:fldChar w:fldCharType="separate"/>
            </w:r>
            <w:r>
              <w:rPr>
                <w:rFonts w:hint="eastAsia" w:ascii="宋体" w:hAnsi="宋体" w:eastAsia="宋体" w:cs="宋体"/>
                <w:b/>
                <w:bCs/>
                <w:kern w:val="0"/>
                <w:sz w:val="22"/>
                <w:szCs w:val="22"/>
              </w:rPr>
              <w:t>219</w:t>
            </w:r>
            <w:r>
              <w:rPr>
                <w:rFonts w:hint="eastAsia" w:ascii="宋体" w:hAnsi="宋体" w:eastAsia="宋体" w:cs="宋体"/>
                <w:b/>
                <w:bCs/>
                <w:kern w:val="0"/>
                <w:sz w:val="22"/>
                <w:szCs w:val="22"/>
                <w:lang w:val="en-US" w:eastAsia="zh-CN"/>
              </w:rPr>
              <w:t>,</w:t>
            </w:r>
            <w:r>
              <w:rPr>
                <w:rFonts w:hint="eastAsia" w:ascii="宋体" w:hAnsi="宋体" w:eastAsia="宋体" w:cs="宋体"/>
                <w:b/>
                <w:bCs/>
                <w:kern w:val="0"/>
                <w:sz w:val="22"/>
                <w:szCs w:val="22"/>
              </w:rPr>
              <w:t>058.32</w:t>
            </w:r>
            <w:r>
              <w:rPr>
                <w:rFonts w:hint="eastAsia" w:ascii="宋体" w:hAnsi="宋体" w:eastAsia="宋体" w:cs="宋体"/>
                <w:b/>
                <w:bCs/>
                <w:kern w:val="0"/>
                <w:sz w:val="22"/>
                <w:szCs w:val="22"/>
              </w:rPr>
              <w:fldChar w:fldCharType="end"/>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bidi="ar"/>
              </w:rPr>
              <w:t>1,396.74</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（二十五）管理费用</w:t>
      </w:r>
    </w:p>
    <w:tbl>
      <w:tblPr>
        <w:tblStyle w:val="5"/>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办公费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127,527.96</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125,141.87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社保费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1,302,628.70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1,209,980.23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工资</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8,521,888.68</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7,644,286.43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通讯费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35,976.00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37,004.31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油料及补助费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19,280.39</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2"/>
                <w:sz w:val="21"/>
                <w:szCs w:val="21"/>
                <w:lang w:val="en-US"/>
              </w:rPr>
            </w:pPr>
            <w:r>
              <w:rPr>
                <w:rFonts w:hint="eastAsia" w:ascii="宋体" w:hAnsi="宋体" w:eastAsia="宋体" w:cs="宋体"/>
                <w:i w:val="0"/>
                <w:color w:val="000000"/>
                <w:kern w:val="0"/>
                <w:sz w:val="21"/>
                <w:szCs w:val="21"/>
                <w:lang w:val="en-US" w:eastAsia="zh-CN" w:bidi="ar"/>
              </w:rPr>
              <w:t>其他费用</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36,568.89</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i w:val="0"/>
                <w:color w:val="000000"/>
                <w:kern w:val="0"/>
                <w:sz w:val="21"/>
                <w:szCs w:val="21"/>
                <w:lang w:val="en-US" w:eastAsia="zh-CN" w:bidi="ar"/>
              </w:rPr>
            </w:pPr>
            <w:r>
              <w:rPr>
                <w:rFonts w:hint="eastAsia" w:ascii="宋体" w:hAnsi="宋体" w:eastAsia="宋体" w:cs="宋体"/>
                <w:i w:val="0"/>
                <w:color w:val="000000"/>
                <w:kern w:val="0"/>
                <w:sz w:val="21"/>
                <w:szCs w:val="21"/>
                <w:lang w:val="en-US" w:eastAsia="zh-CN" w:bidi="ar"/>
              </w:rPr>
              <w:t>49,351.32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住房公积金</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609,794.00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560,751.00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维修费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73,122.42</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53,438.10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车辆费用</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22,874.57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128,398.67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差旅费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31,323.56</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36,710.70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会务费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1,350.00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工会经费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137,606.55</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200,946.84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福利费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98,846.00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64,936.00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履职待遇</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92,339.50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84,000.00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水电费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75,905.81</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83,872.87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劳务费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3,123.60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企业文化建设</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220,622.68</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201,883.55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摊销性费用</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259,159.37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139,272.47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职工教育经费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i w:val="0"/>
                <w:color w:val="000000"/>
                <w:kern w:val="0"/>
                <w:sz w:val="22"/>
                <w:szCs w:val="22"/>
                <w:lang w:val="en-US" w:eastAsia="zh-CN"/>
              </w:rPr>
            </w:pPr>
            <w:r>
              <w:rPr>
                <w:rFonts w:hint="eastAsia" w:ascii="宋体" w:hAnsi="宋体" w:eastAsia="宋体" w:cs="宋体"/>
                <w:i w:val="0"/>
                <w:color w:val="000000"/>
                <w:kern w:val="0"/>
                <w:sz w:val="22"/>
                <w:szCs w:val="22"/>
                <w:lang w:val="en-US" w:eastAsia="zh-CN"/>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rPr>
              <w:t>101,000.00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资料费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85,345.80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71,937.76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误餐费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5,912.00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4,280.00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培训费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lang w:val="en-US" w:eastAsia="zh-CN"/>
              </w:rPr>
            </w:pPr>
            <w:r>
              <w:rPr>
                <w:rFonts w:hint="eastAsia" w:ascii="宋体" w:hAnsi="宋体" w:eastAsia="宋体" w:cs="宋体"/>
                <w:i w:val="0"/>
                <w:color w:val="000000"/>
                <w:kern w:val="0"/>
                <w:sz w:val="22"/>
                <w:szCs w:val="22"/>
                <w:lang w:val="en-US" w:eastAsia="zh-CN"/>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2,500.00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办公上网费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61,831.59</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50,676.77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公司经费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253,668.11</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123,263.57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执纪办案</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3,696.00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监事会经费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2,647.00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房租费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kern w:val="0"/>
                <w:sz w:val="22"/>
                <w:szCs w:val="22"/>
                <w:lang w:val="en-US" w:eastAsia="zh-CN" w:bidi="ar"/>
              </w:rPr>
            </w:pPr>
            <w:r>
              <w:rPr>
                <w:rFonts w:hint="eastAsia" w:ascii="宋体" w:hAnsi="宋体" w:eastAsia="宋体" w:cs="宋体"/>
                <w:b/>
                <w:bCs/>
                <w:i w:val="0"/>
                <w:iCs w:val="0"/>
                <w:color w:val="000000"/>
                <w:kern w:val="0"/>
                <w:sz w:val="22"/>
                <w:szCs w:val="22"/>
                <w:lang w:val="en-US" w:eastAsia="zh-CN" w:bidi="ar"/>
              </w:rPr>
              <w:fldChar w:fldCharType="begin"/>
            </w:r>
            <w:r>
              <w:rPr>
                <w:rFonts w:hint="eastAsia" w:ascii="宋体" w:hAnsi="宋体" w:eastAsia="宋体" w:cs="宋体"/>
                <w:b/>
                <w:bCs/>
                <w:i w:val="0"/>
                <w:iCs w:val="0"/>
                <w:color w:val="000000"/>
                <w:kern w:val="0"/>
                <w:sz w:val="22"/>
                <w:szCs w:val="22"/>
                <w:lang w:val="en-US" w:eastAsia="zh-CN" w:bidi="ar"/>
              </w:rPr>
              <w:instrText xml:space="preserve"> = sum(B2:B30) \* MERGEFORMAT </w:instrText>
            </w:r>
            <w:r>
              <w:rPr>
                <w:rFonts w:hint="eastAsia" w:ascii="宋体" w:hAnsi="宋体" w:eastAsia="宋体" w:cs="宋体"/>
                <w:b/>
                <w:bCs/>
                <w:i w:val="0"/>
                <w:iCs w:val="0"/>
                <w:color w:val="000000"/>
                <w:kern w:val="0"/>
                <w:sz w:val="22"/>
                <w:szCs w:val="22"/>
                <w:lang w:val="en-US" w:eastAsia="zh-CN" w:bidi="ar"/>
              </w:rPr>
              <w:fldChar w:fldCharType="separate"/>
            </w:r>
            <w:r>
              <w:rPr>
                <w:rFonts w:hint="eastAsia" w:ascii="宋体" w:hAnsi="宋体" w:eastAsia="宋体" w:cs="宋体"/>
                <w:b/>
                <w:bCs/>
                <w:i w:val="0"/>
                <w:iCs w:val="0"/>
                <w:color w:val="000000"/>
                <w:kern w:val="0"/>
                <w:sz w:val="22"/>
                <w:szCs w:val="22"/>
                <w:lang w:val="en-US" w:eastAsia="zh-CN" w:bidi="ar"/>
              </w:rPr>
              <w:t>12,084,915.58</w:t>
            </w:r>
            <w:r>
              <w:rPr>
                <w:rFonts w:hint="eastAsia" w:ascii="宋体" w:hAnsi="宋体" w:eastAsia="宋体" w:cs="宋体"/>
                <w:b/>
                <w:bCs/>
                <w:i w:val="0"/>
                <w:iCs w:val="0"/>
                <w:color w:val="000000"/>
                <w:kern w:val="0"/>
                <w:sz w:val="22"/>
                <w:szCs w:val="22"/>
                <w:lang w:val="en-US" w:eastAsia="zh-CN" w:bidi="ar"/>
              </w:rPr>
              <w:fldChar w:fldCharType="end"/>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iCs w:val="0"/>
                <w:color w:val="000000"/>
                <w:kern w:val="0"/>
                <w:sz w:val="22"/>
                <w:szCs w:val="22"/>
                <w:lang w:val="en-US" w:eastAsia="zh-CN" w:bidi="ar"/>
              </w:rPr>
            </w:pPr>
            <w:r>
              <w:rPr>
                <w:rFonts w:hint="eastAsia" w:ascii="宋体" w:hAnsi="宋体" w:eastAsia="宋体" w:cs="宋体"/>
                <w:b/>
                <w:bCs/>
                <w:i w:val="0"/>
                <w:iCs w:val="0"/>
                <w:color w:val="000000"/>
                <w:kern w:val="0"/>
                <w:sz w:val="22"/>
                <w:szCs w:val="22"/>
                <w:lang w:val="en-US" w:eastAsia="zh-CN" w:bidi="ar"/>
              </w:rPr>
              <w:t>10,976,756.51</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（二十六）财务费用</w:t>
      </w:r>
    </w:p>
    <w:tbl>
      <w:tblPr>
        <w:tblStyle w:val="5"/>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手续费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 xml:space="preserve">3,013.00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5,613.49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00"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利息收入</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 xml:space="preserve">-563,547.04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-606,273.05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00"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账户管理费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 xml:space="preserve">580.00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lang w:val="en-US" w:eastAsia="zh-CN" w:bidi="ar"/>
              </w:rPr>
              <w:t>1,553.00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短信服务费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 xml:space="preserve">480.00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kern w:val="0"/>
                <w:sz w:val="22"/>
                <w:szCs w:val="22"/>
              </w:rPr>
            </w:pPr>
            <w:r>
              <w:rPr>
                <w:rFonts w:hint="eastAsia" w:ascii="宋体" w:hAnsi="宋体" w:eastAsia="宋体" w:cs="宋体"/>
                <w:i w:val="0"/>
                <w:color w:val="000000"/>
                <w:kern w:val="0"/>
                <w:sz w:val="22"/>
                <w:szCs w:val="22"/>
                <w:lang w:val="en-US" w:eastAsia="zh-CN" w:bidi="ar"/>
              </w:rPr>
              <w:t>480.00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lang w:val="en-US" w:eastAsia="zh-CN" w:bidi="ar"/>
              </w:rPr>
            </w:pPr>
            <w:r>
              <w:rPr>
                <w:rFonts w:hint="eastAsia" w:ascii="宋体" w:hAnsi="宋体" w:eastAsia="宋体" w:cs="宋体"/>
                <w:b/>
                <w:bCs/>
                <w:i w:val="0"/>
                <w:color w:val="000000"/>
                <w:kern w:val="0"/>
                <w:sz w:val="22"/>
                <w:szCs w:val="22"/>
                <w:lang w:val="en-US" w:eastAsia="zh-CN" w:bidi="ar"/>
              </w:rPr>
              <w:fldChar w:fldCharType="begin"/>
            </w:r>
            <w:r>
              <w:rPr>
                <w:rFonts w:hint="eastAsia" w:ascii="宋体" w:hAnsi="宋体" w:eastAsia="宋体" w:cs="宋体"/>
                <w:b/>
                <w:bCs/>
                <w:i w:val="0"/>
                <w:color w:val="000000"/>
                <w:kern w:val="0"/>
                <w:sz w:val="22"/>
                <w:szCs w:val="22"/>
                <w:lang w:val="en-US" w:eastAsia="zh-CN" w:bidi="ar"/>
              </w:rPr>
              <w:instrText xml:space="preserve"> = sum(B2:B5) \* MERGEFORMAT </w:instrText>
            </w:r>
            <w:r>
              <w:rPr>
                <w:rFonts w:hint="eastAsia" w:ascii="宋体" w:hAnsi="宋体" w:eastAsia="宋体" w:cs="宋体"/>
                <w:b/>
                <w:bCs/>
                <w:i w:val="0"/>
                <w:color w:val="000000"/>
                <w:kern w:val="0"/>
                <w:sz w:val="22"/>
                <w:szCs w:val="22"/>
                <w:lang w:val="en-US" w:eastAsia="zh-CN" w:bidi="ar"/>
              </w:rPr>
              <w:fldChar w:fldCharType="separate"/>
            </w:r>
            <w:r>
              <w:rPr>
                <w:rFonts w:hint="eastAsia" w:ascii="宋体" w:hAnsi="宋体" w:eastAsia="宋体" w:cs="宋体"/>
                <w:b/>
                <w:bCs/>
                <w:i w:val="0"/>
                <w:color w:val="000000"/>
                <w:kern w:val="0"/>
                <w:sz w:val="22"/>
                <w:szCs w:val="22"/>
                <w:lang w:val="en-US" w:eastAsia="zh-CN" w:bidi="ar"/>
              </w:rPr>
              <w:t>-559,474.04</w:t>
            </w:r>
            <w:r>
              <w:rPr>
                <w:rFonts w:hint="eastAsia" w:ascii="宋体" w:hAnsi="宋体" w:eastAsia="宋体" w:cs="宋体"/>
                <w:b/>
                <w:bCs/>
                <w:i w:val="0"/>
                <w:color w:val="000000"/>
                <w:kern w:val="0"/>
                <w:sz w:val="22"/>
                <w:szCs w:val="22"/>
                <w:lang w:val="en-US" w:eastAsia="zh-CN" w:bidi="ar"/>
              </w:rPr>
              <w:fldChar w:fldCharType="end"/>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lang w:val="en-US" w:eastAsia="zh-CN" w:bidi="ar"/>
              </w:rPr>
            </w:pPr>
            <w:r>
              <w:rPr>
                <w:rFonts w:hint="eastAsia" w:ascii="宋体" w:hAnsi="宋体" w:eastAsia="宋体" w:cs="宋体"/>
                <w:b/>
                <w:bCs/>
                <w:i w:val="0"/>
                <w:color w:val="000000"/>
                <w:kern w:val="0"/>
                <w:sz w:val="22"/>
                <w:szCs w:val="22"/>
                <w:lang w:val="en-US" w:eastAsia="zh-CN" w:bidi="ar"/>
              </w:rPr>
              <w:t>-598,626.56</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（二十七）资产减值损失</w:t>
      </w:r>
    </w:p>
    <w:tbl>
      <w:tblPr>
        <w:tblStyle w:val="5"/>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坏账损失</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 xml:space="preserve">7,661.26 </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lang w:val="en-US" w:eastAsia="zh-CN" w:bidi="ar"/>
              </w:rPr>
              <w:t>148,612.39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lang w:val="en-US" w:eastAsia="zh-CN" w:bidi="ar"/>
              </w:rPr>
            </w:pPr>
            <w:r>
              <w:rPr>
                <w:rFonts w:hint="eastAsia" w:ascii="宋体" w:hAnsi="宋体" w:eastAsia="宋体" w:cs="宋体"/>
                <w:b/>
                <w:bCs/>
                <w:i w:val="0"/>
                <w:color w:val="000000"/>
                <w:kern w:val="0"/>
                <w:sz w:val="22"/>
                <w:szCs w:val="22"/>
                <w:lang w:val="en-US" w:eastAsia="zh-CN" w:bidi="ar"/>
              </w:rPr>
              <w:t xml:space="preserve">7,661.26 </w:t>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rPr>
            </w:pPr>
            <w:r>
              <w:rPr>
                <w:rFonts w:hint="eastAsia" w:ascii="宋体" w:hAnsi="宋体" w:eastAsia="宋体" w:cs="宋体"/>
                <w:b/>
                <w:bCs/>
                <w:i w:val="0"/>
                <w:color w:val="000000"/>
                <w:kern w:val="0"/>
                <w:sz w:val="22"/>
                <w:szCs w:val="22"/>
                <w:lang w:val="en-US" w:eastAsia="zh-CN" w:bidi="ar"/>
              </w:rPr>
              <w:t>148,612.39</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default" w:ascii="宋体" w:hAnsi="宋体" w:eastAsia="宋体" w:cs="宋体"/>
          <w:kern w:val="2"/>
          <w:sz w:val="24"/>
          <w:szCs w:val="24"/>
          <w:lang w:val="en-US"/>
        </w:rPr>
      </w:pPr>
      <w:r>
        <w:rPr>
          <w:rFonts w:hint="eastAsia" w:ascii="宋体" w:hAnsi="宋体" w:eastAsia="宋体" w:cs="宋体"/>
          <w:kern w:val="2"/>
          <w:sz w:val="24"/>
          <w:szCs w:val="24"/>
          <w:lang w:val="en-US" w:eastAsia="zh-CN" w:bidi="ar"/>
        </w:rPr>
        <w:t>（二十七）其他收益</w:t>
      </w:r>
    </w:p>
    <w:tbl>
      <w:tblPr>
        <w:tblStyle w:val="5"/>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宋体" w:cs="Times New Roman"/>
                <w:kern w:val="0"/>
                <w:sz w:val="21"/>
                <w:szCs w:val="21"/>
              </w:rPr>
            </w:pPr>
            <w:r>
              <w:rPr>
                <w:rFonts w:hint="eastAsia" w:ascii="宋体" w:hAnsi="宋体" w:eastAsia="宋体" w:cs="宋体"/>
                <w:i w:val="0"/>
                <w:iCs w:val="0"/>
                <w:color w:val="000000"/>
                <w:kern w:val="0"/>
                <w:sz w:val="22"/>
                <w:szCs w:val="22"/>
                <w:u w:val="none"/>
                <w:lang w:val="en-US" w:eastAsia="zh-CN" w:bidi="ar"/>
              </w:rPr>
              <w:t>其他</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7,274.45</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加计扣除优惠</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11,954.07</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7,361.62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0"/>
                <w:sz w:val="22"/>
                <w:szCs w:val="22"/>
                <w:lang w:val="en-US" w:eastAsia="zh-CN" w:bidi="ar"/>
              </w:rPr>
            </w:pPr>
            <w:r>
              <w:rPr>
                <w:rFonts w:hint="eastAsia" w:ascii="宋体" w:hAnsi="宋体" w:eastAsia="宋体" w:cs="宋体"/>
                <w:b/>
                <w:bCs/>
                <w:i w:val="0"/>
                <w:color w:val="000000"/>
                <w:kern w:val="0"/>
                <w:sz w:val="22"/>
                <w:szCs w:val="22"/>
                <w:lang w:val="en-US" w:eastAsia="zh-CN" w:bidi="ar"/>
              </w:rPr>
              <w:fldChar w:fldCharType="begin"/>
            </w:r>
            <w:r>
              <w:rPr>
                <w:rFonts w:hint="eastAsia" w:ascii="宋体" w:hAnsi="宋体" w:eastAsia="宋体" w:cs="宋体"/>
                <w:b/>
                <w:bCs/>
                <w:i w:val="0"/>
                <w:color w:val="000000"/>
                <w:kern w:val="0"/>
                <w:sz w:val="22"/>
                <w:szCs w:val="22"/>
                <w:lang w:val="en-US" w:eastAsia="zh-CN" w:bidi="ar"/>
              </w:rPr>
              <w:instrText xml:space="preserve"> = sum(B2:B3) \* MERGEFORMAT </w:instrText>
            </w:r>
            <w:r>
              <w:rPr>
                <w:rFonts w:hint="eastAsia" w:ascii="宋体" w:hAnsi="宋体" w:eastAsia="宋体" w:cs="宋体"/>
                <w:b/>
                <w:bCs/>
                <w:i w:val="0"/>
                <w:color w:val="000000"/>
                <w:kern w:val="0"/>
                <w:sz w:val="22"/>
                <w:szCs w:val="22"/>
                <w:lang w:val="en-US" w:eastAsia="zh-CN" w:bidi="ar"/>
              </w:rPr>
              <w:fldChar w:fldCharType="separate"/>
            </w:r>
            <w:r>
              <w:rPr>
                <w:rFonts w:hint="eastAsia" w:ascii="宋体" w:hAnsi="宋体" w:eastAsia="宋体" w:cs="宋体"/>
                <w:b/>
                <w:bCs/>
                <w:i w:val="0"/>
                <w:color w:val="000000"/>
                <w:kern w:val="0"/>
                <w:sz w:val="22"/>
                <w:szCs w:val="22"/>
                <w:lang w:val="en-US" w:eastAsia="zh-CN" w:bidi="ar"/>
              </w:rPr>
              <w:t>19,228.52</w:t>
            </w:r>
            <w:r>
              <w:rPr>
                <w:rFonts w:hint="eastAsia" w:ascii="宋体" w:hAnsi="宋体" w:eastAsia="宋体" w:cs="宋体"/>
                <w:b/>
                <w:bCs/>
                <w:i w:val="0"/>
                <w:color w:val="000000"/>
                <w:kern w:val="0"/>
                <w:sz w:val="22"/>
                <w:szCs w:val="22"/>
                <w:lang w:val="en-US" w:eastAsia="zh-CN" w:bidi="ar"/>
              </w:rPr>
              <w:fldChar w:fldCharType="end"/>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b/>
                <w:bCs/>
                <w:i w:val="0"/>
                <w:color w:val="FF0000"/>
                <w:kern w:val="0"/>
                <w:sz w:val="22"/>
                <w:szCs w:val="22"/>
                <w:lang w:val="en-US" w:eastAsia="zh-CN"/>
              </w:rPr>
            </w:pPr>
            <w:r>
              <w:rPr>
                <w:rFonts w:hint="eastAsia" w:ascii="宋体" w:hAnsi="宋体" w:eastAsia="宋体" w:cs="宋体"/>
                <w:b/>
                <w:bCs/>
                <w:i w:val="0"/>
                <w:color w:val="auto"/>
                <w:kern w:val="0"/>
                <w:sz w:val="22"/>
                <w:szCs w:val="22"/>
                <w:lang w:val="en-US" w:eastAsia="zh-CN"/>
              </w:rPr>
              <w:t>7,361.62</w:t>
            </w:r>
          </w:p>
        </w:tc>
      </w:tr>
    </w:tbl>
    <w:p>
      <w:pPr>
        <w:keepNext w:val="0"/>
        <w:keepLines w:val="0"/>
        <w:widowControl w:val="0"/>
        <w:suppressLineNumbers w:val="0"/>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（二十八）营业外收入</w:t>
      </w:r>
    </w:p>
    <w:tbl>
      <w:tblPr>
        <w:tblStyle w:val="5"/>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上级补助收入</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333,123.54</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197,961.19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损失赔偿费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kern w:val="0"/>
                <w:sz w:val="22"/>
                <w:szCs w:val="22"/>
              </w:rPr>
            </w:pPr>
            <w:r>
              <w:rPr>
                <w:rFonts w:hint="eastAsia" w:ascii="宋体" w:hAnsi="宋体" w:eastAsia="宋体" w:cs="宋体"/>
                <w:color w:val="000000"/>
                <w:kern w:val="0"/>
                <w:sz w:val="22"/>
                <w:szCs w:val="22"/>
                <w:lang w:val="en-US" w:eastAsia="zh-CN" w:bidi="ar"/>
              </w:rPr>
              <w:t>1,050.00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税费返还</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-75.41</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75.41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其他</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163,755.29</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60,512.19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default"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工资扣款</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0.42</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fldChar w:fldCharType="begin"/>
            </w:r>
            <w:r>
              <w:rPr>
                <w:rFonts w:hint="eastAsia" w:ascii="宋体" w:hAnsi="宋体" w:eastAsia="宋体" w:cs="宋体"/>
                <w:b/>
                <w:bCs/>
                <w:color w:val="000000"/>
                <w:kern w:val="0"/>
                <w:sz w:val="22"/>
                <w:szCs w:val="22"/>
                <w:lang w:val="en-US" w:eastAsia="zh-CN" w:bidi="ar"/>
              </w:rPr>
              <w:instrText xml:space="preserve"> = sum(B2:B6) \* MERGEFORMAT </w:instrText>
            </w:r>
            <w:r>
              <w:rPr>
                <w:rFonts w:hint="eastAsia" w:ascii="宋体" w:hAnsi="宋体" w:eastAsia="宋体" w:cs="宋体"/>
                <w:b/>
                <w:bCs/>
                <w:color w:val="000000"/>
                <w:kern w:val="0"/>
                <w:sz w:val="22"/>
                <w:szCs w:val="22"/>
                <w:lang w:val="en-US" w:eastAsia="zh-CN" w:bidi="ar"/>
              </w:rPr>
              <w:fldChar w:fldCharType="separate"/>
            </w:r>
            <w:r>
              <w:rPr>
                <w:rFonts w:hint="eastAsia" w:ascii="宋体" w:hAnsi="宋体" w:eastAsia="宋体" w:cs="宋体"/>
                <w:b/>
                <w:bCs/>
                <w:color w:val="000000"/>
                <w:kern w:val="0"/>
                <w:sz w:val="22"/>
                <w:szCs w:val="22"/>
                <w:lang w:val="en-US" w:eastAsia="zh-CN" w:bidi="ar"/>
              </w:rPr>
              <w:t>496,803.84</w:t>
            </w:r>
            <w:r>
              <w:rPr>
                <w:rFonts w:hint="eastAsia" w:ascii="宋体" w:hAnsi="宋体" w:eastAsia="宋体" w:cs="宋体"/>
                <w:b/>
                <w:bCs/>
                <w:color w:val="000000"/>
                <w:kern w:val="0"/>
                <w:sz w:val="22"/>
                <w:szCs w:val="22"/>
                <w:lang w:val="en-US" w:eastAsia="zh-CN" w:bidi="ar"/>
              </w:rPr>
              <w:fldChar w:fldCharType="end"/>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259,598.79</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（二十九）营业外支出</w:t>
      </w:r>
    </w:p>
    <w:tbl>
      <w:tblPr>
        <w:tblStyle w:val="5"/>
        <w:tblW w:w="849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1"/>
        <w:gridCol w:w="2831"/>
        <w:gridCol w:w="283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1"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831"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滞纳金</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462.17</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20,013.58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Arial" w:hAnsi="Arial" w:cs="Arial"/>
                <w:color w:val="000000"/>
                <w:kern w:val="2"/>
                <w:sz w:val="20"/>
                <w:szCs w:val="20"/>
              </w:rPr>
            </w:pPr>
            <w:r>
              <w:rPr>
                <w:rFonts w:hint="eastAsia" w:ascii="宋体" w:hAnsi="宋体" w:eastAsia="宋体" w:cs="宋体"/>
                <w:color w:val="000000"/>
                <w:kern w:val="2"/>
                <w:sz w:val="20"/>
                <w:szCs w:val="20"/>
                <w:lang w:val="en-US" w:eastAsia="zh-CN" w:bidi="ar"/>
              </w:rPr>
              <w:t>非常损失</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258,219.36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处置低值易耗品损失</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bidi="ar"/>
              </w:rPr>
              <w:t>3,549.00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捐赠支出</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127,755.92</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1"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2831"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000000"/>
                <w:kern w:val="2"/>
                <w:sz w:val="22"/>
                <w:szCs w:val="22"/>
              </w:rPr>
            </w:pPr>
            <w:r>
              <w:rPr>
                <w:rFonts w:hint="eastAsia" w:ascii="宋体" w:hAnsi="宋体" w:eastAsia="宋体" w:cs="宋体"/>
                <w:b/>
                <w:bCs/>
                <w:i w:val="0"/>
                <w:iCs w:val="0"/>
                <w:color w:val="000000"/>
                <w:kern w:val="2"/>
                <w:sz w:val="22"/>
                <w:szCs w:val="22"/>
              </w:rPr>
              <w:fldChar w:fldCharType="begin"/>
            </w:r>
            <w:r>
              <w:rPr>
                <w:rFonts w:hint="eastAsia" w:ascii="宋体" w:hAnsi="宋体" w:eastAsia="宋体" w:cs="宋体"/>
                <w:b/>
                <w:bCs/>
                <w:i w:val="0"/>
                <w:iCs w:val="0"/>
                <w:color w:val="000000"/>
                <w:kern w:val="2"/>
                <w:sz w:val="22"/>
                <w:szCs w:val="22"/>
              </w:rPr>
              <w:instrText xml:space="preserve"> = sum(B2:B5) \* MERGEFORMAT </w:instrText>
            </w:r>
            <w:r>
              <w:rPr>
                <w:rFonts w:hint="eastAsia" w:ascii="宋体" w:hAnsi="宋体" w:eastAsia="宋体" w:cs="宋体"/>
                <w:b/>
                <w:bCs/>
                <w:i w:val="0"/>
                <w:iCs w:val="0"/>
                <w:color w:val="000000"/>
                <w:kern w:val="2"/>
                <w:sz w:val="22"/>
                <w:szCs w:val="22"/>
              </w:rPr>
              <w:fldChar w:fldCharType="separate"/>
            </w:r>
            <w:r>
              <w:rPr>
                <w:rFonts w:hint="eastAsia" w:ascii="宋体" w:hAnsi="宋体" w:eastAsia="宋体" w:cs="宋体"/>
                <w:b/>
                <w:bCs/>
                <w:i w:val="0"/>
                <w:iCs w:val="0"/>
                <w:color w:val="000000"/>
                <w:kern w:val="2"/>
                <w:sz w:val="22"/>
                <w:szCs w:val="22"/>
              </w:rPr>
              <w:t>128</w:t>
            </w:r>
            <w:r>
              <w:rPr>
                <w:rFonts w:hint="eastAsia" w:ascii="宋体" w:hAnsi="宋体" w:eastAsia="宋体" w:cs="宋体"/>
                <w:b/>
                <w:bCs/>
                <w:i w:val="0"/>
                <w:iCs w:val="0"/>
                <w:color w:val="000000"/>
                <w:kern w:val="2"/>
                <w:sz w:val="22"/>
                <w:szCs w:val="22"/>
                <w:lang w:val="en-US" w:eastAsia="zh-CN"/>
              </w:rPr>
              <w:t>,</w:t>
            </w:r>
            <w:r>
              <w:rPr>
                <w:rFonts w:hint="eastAsia" w:ascii="宋体" w:hAnsi="宋体" w:eastAsia="宋体" w:cs="宋体"/>
                <w:b/>
                <w:bCs/>
                <w:i w:val="0"/>
                <w:iCs w:val="0"/>
                <w:color w:val="000000"/>
                <w:kern w:val="2"/>
                <w:sz w:val="22"/>
                <w:szCs w:val="22"/>
              </w:rPr>
              <w:t>218.09</w:t>
            </w:r>
            <w:r>
              <w:rPr>
                <w:rFonts w:hint="eastAsia" w:ascii="宋体" w:hAnsi="宋体" w:eastAsia="宋体" w:cs="宋体"/>
                <w:b/>
                <w:bCs/>
                <w:i w:val="0"/>
                <w:iCs w:val="0"/>
                <w:color w:val="000000"/>
                <w:kern w:val="2"/>
                <w:sz w:val="22"/>
                <w:szCs w:val="22"/>
              </w:rPr>
              <w:fldChar w:fldCharType="end"/>
            </w:r>
          </w:p>
        </w:tc>
        <w:tc>
          <w:tcPr>
            <w:tcW w:w="283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b/>
                <w:bCs/>
                <w:color w:val="000000"/>
                <w:kern w:val="0"/>
                <w:sz w:val="22"/>
                <w:szCs w:val="22"/>
              </w:rPr>
            </w:pPr>
            <w:r>
              <w:rPr>
                <w:rFonts w:hint="eastAsia" w:ascii="宋体" w:hAnsi="宋体" w:eastAsia="宋体" w:cs="宋体"/>
                <w:b/>
                <w:bCs/>
                <w:i w:val="0"/>
                <w:iCs w:val="0"/>
                <w:color w:val="000000"/>
                <w:kern w:val="0"/>
                <w:sz w:val="22"/>
                <w:szCs w:val="22"/>
                <w:lang w:val="en-US" w:eastAsia="zh-CN" w:bidi="ar"/>
              </w:rPr>
              <w:t>281,781.94</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（三十）所得税费用</w:t>
      </w:r>
    </w:p>
    <w:tbl>
      <w:tblPr>
        <w:tblStyle w:val="5"/>
        <w:tblW w:w="849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1"/>
        <w:gridCol w:w="2831"/>
        <w:gridCol w:w="283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1"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831"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计提</w:t>
            </w:r>
            <w:r>
              <w:rPr>
                <w:rFonts w:hint="default" w:ascii="Times New Roman" w:hAnsi="Times New Roman" w:eastAsia="宋体" w:cs="Times New Roman"/>
                <w:kern w:val="2"/>
                <w:sz w:val="21"/>
                <w:szCs w:val="21"/>
                <w:lang w:val="en-US" w:eastAsia="zh-CN" w:bidi="ar"/>
              </w:rPr>
              <w:t>202</w:t>
            </w:r>
            <w:r>
              <w:rPr>
                <w:rFonts w:hint="eastAsia"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年度所得税额</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581,485.65 </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kern w:val="2"/>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90"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计提</w:t>
            </w:r>
            <w:r>
              <w:rPr>
                <w:rFonts w:hint="default" w:ascii="Times New Roman" w:hAnsi="Times New Roman" w:eastAsia="宋体" w:cs="Times New Roman"/>
                <w:kern w:val="2"/>
                <w:sz w:val="21"/>
                <w:szCs w:val="21"/>
                <w:lang w:val="en-US" w:eastAsia="zh-CN" w:bidi="ar"/>
              </w:rPr>
              <w:t>2021</w:t>
            </w:r>
            <w:r>
              <w:rPr>
                <w:rFonts w:hint="eastAsia" w:ascii="宋体" w:hAnsi="宋体" w:eastAsia="宋体" w:cs="宋体"/>
                <w:kern w:val="2"/>
                <w:sz w:val="21"/>
                <w:szCs w:val="21"/>
                <w:lang w:val="en-US" w:eastAsia="zh-CN" w:bidi="ar"/>
              </w:rPr>
              <w:t>年度所得税额</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lang w:val="en-US" w:eastAsia="zh-CN" w:bidi="ar"/>
              </w:rPr>
              <w:t>702,174.81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1"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2831"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 xml:space="preserve">581,485.65 </w:t>
            </w:r>
          </w:p>
        </w:tc>
        <w:tc>
          <w:tcPr>
            <w:tcW w:w="283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kern w:val="0"/>
                <w:sz w:val="21"/>
                <w:szCs w:val="21"/>
              </w:rPr>
            </w:pPr>
            <w:r>
              <w:rPr>
                <w:rFonts w:hint="eastAsia" w:ascii="宋体" w:hAnsi="宋体" w:eastAsia="宋体" w:cs="宋体"/>
                <w:b/>
                <w:bCs/>
                <w:i w:val="0"/>
                <w:color w:val="000000"/>
                <w:kern w:val="0"/>
                <w:sz w:val="21"/>
                <w:szCs w:val="21"/>
                <w:lang w:val="en-US" w:eastAsia="zh-CN" w:bidi="ar"/>
              </w:rPr>
              <w:t>702,174.81</w:t>
            </w:r>
          </w:p>
        </w:tc>
      </w:tr>
    </w:tbl>
    <w:p>
      <w:pPr>
        <w:keepNext w:val="0"/>
        <w:keepLines w:val="0"/>
        <w:widowControl w:val="0"/>
        <w:suppressLineNumbers w:val="0"/>
        <w:adjustRightInd w:val="0"/>
        <w:snapToGrid w:val="0"/>
        <w:spacing w:before="156" w:beforeLines="50" w:beforeAutospacing="0" w:after="0" w:afterAutospacing="0" w:line="360" w:lineRule="auto"/>
        <w:ind w:left="0" w:right="0" w:firstLine="482" w:firstLineChars="200"/>
        <w:jc w:val="both"/>
        <w:rPr>
          <w:rFonts w:hint="default" w:ascii="Arial Narrow" w:hAnsi="Arial Narrow" w:eastAsia="Arial Narrow" w:cs="宋体"/>
          <w:b/>
          <w:bCs w:val="0"/>
          <w:color w:val="000000"/>
          <w:kern w:val="0"/>
          <w:sz w:val="24"/>
          <w:szCs w:val="24"/>
        </w:rPr>
      </w:pPr>
      <w:r>
        <w:rPr>
          <w:rFonts w:hint="eastAsia" w:ascii="宋体" w:hAnsi="宋体" w:eastAsia="宋体" w:cs="宋体"/>
          <w:b/>
          <w:bCs w:val="0"/>
          <w:color w:val="000000"/>
          <w:kern w:val="0"/>
          <w:sz w:val="24"/>
          <w:szCs w:val="24"/>
          <w:lang w:val="en-US" w:eastAsia="zh-CN" w:bidi="ar"/>
        </w:rPr>
        <w:t>九、或有事项的说明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Arial Narrow" w:hAnsi="Arial Narrow" w:eastAsia="Arial Narrow" w:cs="Arial Narrow"/>
          <w:kern w:val="2"/>
          <w:sz w:val="24"/>
          <w:szCs w:val="24"/>
        </w:rPr>
      </w:pPr>
      <w:bookmarkStart w:id="0" w:name="_Toc247371921"/>
      <w:bookmarkEnd w:id="0"/>
      <w:bookmarkStart w:id="1" w:name="_Toc247094135"/>
      <w:bookmarkEnd w:id="1"/>
      <w:bookmarkStart w:id="2" w:name="_Toc241636511"/>
      <w:r>
        <w:rPr>
          <w:rFonts w:hint="eastAsia" w:ascii="宋体" w:hAnsi="宋体" w:eastAsia="宋体" w:cs="宋体"/>
          <w:kern w:val="2"/>
          <w:sz w:val="24"/>
          <w:szCs w:val="24"/>
          <w:lang w:val="en-US" w:eastAsia="zh-CN" w:bidi="ar"/>
        </w:rPr>
        <w:t>截止报告期末，公司无应予披露的其他重大</w:t>
      </w:r>
      <w:bookmarkEnd w:id="2"/>
      <w:r>
        <w:rPr>
          <w:rFonts w:hint="eastAsia" w:ascii="宋体" w:hAnsi="宋体" w:eastAsia="宋体" w:cs="宋体"/>
          <w:kern w:val="2"/>
          <w:sz w:val="24"/>
          <w:szCs w:val="24"/>
          <w:lang w:val="en-US" w:eastAsia="zh-CN" w:bidi="ar"/>
        </w:rPr>
        <w:t>或有事项。</w:t>
      </w:r>
    </w:p>
    <w:p>
      <w:pPr>
        <w:keepNext w:val="0"/>
        <w:keepLines w:val="0"/>
        <w:widowControl w:val="0"/>
        <w:suppressLineNumbers w:val="0"/>
        <w:adjustRightInd w:val="0"/>
        <w:snapToGrid w:val="0"/>
        <w:spacing w:before="156" w:beforeLines="50" w:beforeAutospacing="0" w:after="0" w:afterAutospacing="0" w:line="360" w:lineRule="auto"/>
        <w:ind w:left="0" w:right="0" w:firstLine="477" w:firstLineChars="198"/>
        <w:jc w:val="both"/>
        <w:rPr>
          <w:rFonts w:hint="default" w:ascii="Arial Narrow" w:hAnsi="Arial Narrow" w:eastAsia="Arial Narrow" w:cs="宋体"/>
          <w:b/>
          <w:bCs w:val="0"/>
          <w:color w:val="000000"/>
          <w:kern w:val="0"/>
          <w:sz w:val="24"/>
          <w:szCs w:val="24"/>
        </w:rPr>
      </w:pPr>
      <w:r>
        <w:rPr>
          <w:rFonts w:hint="eastAsia" w:ascii="宋体" w:hAnsi="宋体" w:eastAsia="宋体" w:cs="宋体"/>
          <w:b/>
          <w:bCs w:val="0"/>
          <w:color w:val="000000"/>
          <w:kern w:val="0"/>
          <w:sz w:val="24"/>
          <w:szCs w:val="24"/>
          <w:lang w:val="en-US" w:eastAsia="zh-CN" w:bidi="ar"/>
        </w:rPr>
        <w:t>十、承诺事项的说明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Arial Narrow" w:hAnsi="Arial Narrow" w:eastAsia="宋体" w:cs="宋体"/>
          <w:color w:val="000000"/>
          <w:kern w:val="2"/>
          <w:sz w:val="24"/>
          <w:szCs w:val="24"/>
        </w:rPr>
      </w:pPr>
      <w:r>
        <w:rPr>
          <w:rFonts w:hint="eastAsia" w:ascii="宋体" w:hAnsi="宋体" w:eastAsia="宋体" w:cs="宋体"/>
          <w:kern w:val="2"/>
          <w:sz w:val="24"/>
          <w:szCs w:val="24"/>
          <w:lang w:val="en-US" w:eastAsia="zh-CN" w:bidi="ar"/>
        </w:rPr>
        <w:t>截止报告期末，公司无应予披露的其他重大承诺事项。</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Times New Roman" w:cs="Times New Roman"/>
          <w:b/>
          <w:bCs/>
          <w:kern w:val="2"/>
          <w:sz w:val="24"/>
          <w:szCs w:val="24"/>
        </w:rPr>
      </w:pPr>
      <w:bookmarkStart w:id="3" w:name="_Toc241636516"/>
      <w:bookmarkEnd w:id="3"/>
      <w:bookmarkStart w:id="4" w:name="_Toc247094140"/>
      <w:bookmarkEnd w:id="4"/>
      <w:bookmarkStart w:id="5" w:name="_Toc247371928"/>
      <w:r>
        <w:rPr>
          <w:rFonts w:hint="eastAsia" w:ascii="宋体" w:hAnsi="宋体" w:eastAsia="宋体" w:cs="宋体"/>
          <w:b/>
          <w:bCs w:val="0"/>
          <w:color w:val="000000"/>
          <w:kern w:val="0"/>
          <w:sz w:val="24"/>
          <w:szCs w:val="24"/>
          <w:lang w:val="en-US" w:eastAsia="zh-CN" w:bidi="ar"/>
        </w:rPr>
        <w:t>十一</w:t>
      </w:r>
      <w:bookmarkEnd w:id="5"/>
      <w:r>
        <w:rPr>
          <w:rFonts w:hint="eastAsia" w:ascii="宋体" w:hAnsi="宋体" w:eastAsia="宋体" w:cs="宋体"/>
          <w:b/>
          <w:bCs w:val="0"/>
          <w:color w:val="000000"/>
          <w:kern w:val="0"/>
          <w:sz w:val="24"/>
          <w:szCs w:val="24"/>
          <w:lang w:val="en-US" w:eastAsia="zh-CN" w:bidi="ar"/>
        </w:rPr>
        <w:t>、</w:t>
      </w:r>
      <w:r>
        <w:rPr>
          <w:rFonts w:hint="eastAsia" w:ascii="宋体" w:hAnsi="宋体" w:eastAsia="宋体" w:cs="宋体"/>
          <w:b/>
          <w:bCs/>
          <w:kern w:val="2"/>
          <w:sz w:val="24"/>
          <w:szCs w:val="24"/>
          <w:lang w:val="en-US" w:eastAsia="zh-CN" w:bidi="ar"/>
        </w:rPr>
        <w:t>资产负债表日后事项的说明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公司未发生影响本财务报表阅读和理解的重大资产负债表日后事项中的非调整事项。</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十二、关联方关系及其交易</w:t>
      </w:r>
    </w:p>
    <w:p>
      <w:pPr>
        <w:pStyle w:val="8"/>
        <w:widowControl/>
        <w:numPr>
          <w:ilvl w:val="0"/>
          <w:numId w:val="1"/>
        </w:numPr>
        <w:spacing w:line="400" w:lineRule="exact"/>
        <w:ind w:left="1142" w:hanging="720" w:firstLineChars="0"/>
        <w:outlineLvl w:val="1"/>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本企业股东关信息：</w:t>
      </w:r>
    </w:p>
    <w:tbl>
      <w:tblPr>
        <w:tblStyle w:val="5"/>
        <w:tblW w:w="4917" w:type="pct"/>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4"/>
        <w:gridCol w:w="2094"/>
        <w:gridCol w:w="2094"/>
        <w:gridCol w:w="209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PrEx>
        <w:tc>
          <w:tcPr>
            <w:tcW w:w="124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股东名称</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注册地</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股东对本企业的持股比例（%）</w:t>
            </w:r>
          </w:p>
        </w:tc>
        <w:tc>
          <w:tcPr>
            <w:tcW w:w="1251" w:type="pct"/>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股东本企业的表决权比例（%）</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2" w:hRule="atLeast"/>
        </w:trPr>
        <w:tc>
          <w:tcPr>
            <w:tcW w:w="124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color w:val="000000"/>
                <w:spacing w:val="6"/>
                <w:kern w:val="2"/>
                <w:sz w:val="21"/>
                <w:szCs w:val="21"/>
                <w:lang w:val="en-US" w:eastAsia="zh-CN" w:bidi="ar"/>
              </w:rPr>
              <w:t>海口市国有资产监督管理委员会</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海口</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100%</w:t>
            </w:r>
          </w:p>
        </w:tc>
        <w:tc>
          <w:tcPr>
            <w:tcW w:w="1251" w:type="pct"/>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100%</w:t>
            </w:r>
          </w:p>
        </w:tc>
      </w:tr>
    </w:tbl>
    <w:p>
      <w:pPr>
        <w:keepNext w:val="0"/>
        <w:keepLines w:val="0"/>
        <w:widowControl w:val="0"/>
        <w:suppressLineNumbers w:val="0"/>
        <w:spacing w:before="0" w:beforeAutospacing="0" w:after="0" w:afterAutospacing="0" w:line="400" w:lineRule="exact"/>
        <w:ind w:left="0" w:right="0" w:firstLine="422" w:firstLineChars="200"/>
        <w:jc w:val="both"/>
        <w:outlineLvl w:val="1"/>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（二）本企业的子企业有关信息，详见本财务报表附注七.（一）</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十三、母公司会计报表的主要项目附注</w:t>
      </w:r>
    </w:p>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长期股权投资</w:t>
      </w:r>
    </w:p>
    <w:tbl>
      <w:tblPr>
        <w:tblStyle w:val="5"/>
        <w:tblW w:w="833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964"/>
        <w:gridCol w:w="1659"/>
        <w:gridCol w:w="1667"/>
        <w:gridCol w:w="1624"/>
        <w:gridCol w:w="142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964"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项目</w:t>
            </w:r>
          </w:p>
        </w:tc>
        <w:tc>
          <w:tcPr>
            <w:tcW w:w="1659"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667"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624"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42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96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海口福满三江农业开发有限公司</w:t>
            </w:r>
          </w:p>
        </w:tc>
        <w:tc>
          <w:tcPr>
            <w:tcW w:w="1659"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4,000,000.00</w:t>
            </w:r>
          </w:p>
        </w:tc>
        <w:tc>
          <w:tcPr>
            <w:tcW w:w="1667"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2,000,000.00</w:t>
            </w:r>
          </w:p>
        </w:tc>
        <w:tc>
          <w:tcPr>
            <w:tcW w:w="162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w:t>
            </w:r>
          </w:p>
        </w:tc>
        <w:tc>
          <w:tcPr>
            <w:tcW w:w="142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6,000,000.00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96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海口三江农场物业服务有限公司</w:t>
            </w:r>
          </w:p>
        </w:tc>
        <w:tc>
          <w:tcPr>
            <w:tcW w:w="1659"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1,307,600.00</w:t>
            </w:r>
          </w:p>
        </w:tc>
        <w:tc>
          <w:tcPr>
            <w:tcW w:w="1667"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692,400.00</w:t>
            </w:r>
          </w:p>
        </w:tc>
        <w:tc>
          <w:tcPr>
            <w:tcW w:w="162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w:t>
            </w:r>
          </w:p>
        </w:tc>
        <w:tc>
          <w:tcPr>
            <w:tcW w:w="142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2,000,000.00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964"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1659"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5,307,600.00</w:t>
            </w:r>
          </w:p>
        </w:tc>
        <w:tc>
          <w:tcPr>
            <w:tcW w:w="1667"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2,692,400.00</w:t>
            </w:r>
          </w:p>
        </w:tc>
        <w:tc>
          <w:tcPr>
            <w:tcW w:w="1624"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w:t>
            </w:r>
          </w:p>
        </w:tc>
        <w:tc>
          <w:tcPr>
            <w:tcW w:w="142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8,000,000.00</w:t>
            </w:r>
          </w:p>
        </w:tc>
      </w:tr>
    </w:tbl>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rPr>
        <w:t>递延收益</w:t>
      </w:r>
    </w:p>
    <w:tbl>
      <w:tblPr>
        <w:tblStyle w:val="5"/>
        <w:tblW w:w="4998" w:type="pct"/>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775"/>
        <w:gridCol w:w="2776"/>
        <w:gridCol w:w="278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65" w:type="pct"/>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665" w:type="pct"/>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c>
          <w:tcPr>
            <w:tcW w:w="1669" w:type="pct"/>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宋体" w:hAnsi="宋体" w:eastAsia="宋体" w:cs="宋体"/>
                <w:color w:val="000000"/>
                <w:kern w:val="2"/>
                <w:sz w:val="20"/>
                <w:szCs w:val="20"/>
                <w:lang w:val="en-US" w:eastAsia="zh-CN" w:bidi="ar"/>
              </w:rPr>
            </w:pPr>
            <w:r>
              <w:rPr>
                <w:rFonts w:hint="eastAsia" w:ascii="宋体" w:hAnsi="宋体" w:eastAsia="宋体" w:cs="宋体"/>
                <w:color w:val="000000"/>
                <w:kern w:val="2"/>
                <w:sz w:val="20"/>
                <w:szCs w:val="20"/>
                <w:lang w:val="en-US" w:eastAsia="zh-CN" w:bidi="ar"/>
              </w:rPr>
              <w:t>其他</w:t>
            </w:r>
          </w:p>
        </w:tc>
        <w:tc>
          <w:tcPr>
            <w:tcW w:w="1665" w:type="pct"/>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875,305.79</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color w:val="000000"/>
                <w:kern w:val="2"/>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876,475.79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eastAsia" w:ascii="宋体" w:hAnsi="宋体" w:eastAsia="宋体" w:cs="宋体"/>
                <w:color w:val="000000"/>
                <w:kern w:val="2"/>
                <w:sz w:val="20"/>
                <w:szCs w:val="20"/>
                <w:lang w:val="en-US" w:eastAsia="zh-CN" w:bidi="ar"/>
              </w:rPr>
            </w:pPr>
            <w:r>
              <w:rPr>
                <w:rFonts w:hint="eastAsia" w:ascii="宋体" w:hAnsi="宋体" w:eastAsia="宋体" w:cs="宋体"/>
                <w:color w:val="000000"/>
                <w:kern w:val="2"/>
                <w:sz w:val="20"/>
                <w:szCs w:val="20"/>
                <w:lang w:val="en-US" w:eastAsia="zh-CN" w:bidi="ar"/>
              </w:rPr>
              <w:t>市国资委</w:t>
            </w:r>
          </w:p>
        </w:tc>
        <w:tc>
          <w:tcPr>
            <w:tcW w:w="1665" w:type="pct"/>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color w:val="000000"/>
                <w:kern w:val="2"/>
                <w:sz w:val="22"/>
                <w:szCs w:val="22"/>
                <w:lang w:val="en-US" w:eastAsia="zh-CN" w:bidi="ar"/>
              </w:rPr>
            </w:pPr>
            <w:r>
              <w:rPr>
                <w:rFonts w:hint="eastAsia" w:ascii="宋体" w:hAnsi="宋体" w:eastAsia="宋体" w:cs="宋体"/>
                <w:color w:val="000000"/>
                <w:kern w:val="2"/>
                <w:sz w:val="22"/>
                <w:szCs w:val="22"/>
                <w:lang w:val="en-US" w:eastAsia="zh-CN" w:bidi="ar"/>
              </w:rPr>
              <w:t>1,000,000.00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default" w:ascii="宋体" w:hAnsi="宋体" w:eastAsia="宋体" w:cs="宋体"/>
                <w:b/>
                <w:bCs/>
                <w:color w:val="000000"/>
                <w:kern w:val="2"/>
                <w:sz w:val="20"/>
                <w:szCs w:val="20"/>
                <w:lang w:val="en-US" w:eastAsia="zh-CN" w:bidi="ar"/>
              </w:rPr>
            </w:pPr>
            <w:r>
              <w:rPr>
                <w:rFonts w:hint="eastAsia" w:ascii="宋体" w:hAnsi="宋体" w:eastAsia="宋体" w:cs="宋体"/>
                <w:b/>
                <w:bCs/>
                <w:color w:val="000000"/>
                <w:kern w:val="2"/>
                <w:sz w:val="20"/>
                <w:szCs w:val="20"/>
                <w:lang w:val="en-US" w:eastAsia="zh-CN" w:bidi="ar"/>
              </w:rPr>
              <w:t>合计</w:t>
            </w:r>
          </w:p>
        </w:tc>
        <w:tc>
          <w:tcPr>
            <w:tcW w:w="2776"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875,305.79</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宋体"/>
                <w:b/>
                <w:bCs/>
                <w:color w:val="000000"/>
                <w:kern w:val="2"/>
                <w:sz w:val="22"/>
                <w:szCs w:val="22"/>
                <w:lang w:val="en-US" w:eastAsia="zh-CN" w:bidi="ar"/>
              </w:rPr>
            </w:pPr>
            <w:r>
              <w:rPr>
                <w:rFonts w:hint="eastAsia" w:ascii="宋体" w:hAnsi="宋体" w:eastAsia="宋体" w:cs="宋体"/>
                <w:b/>
                <w:bCs/>
                <w:color w:val="000000"/>
                <w:kern w:val="2"/>
                <w:sz w:val="22"/>
                <w:szCs w:val="22"/>
                <w:lang w:val="en-US" w:eastAsia="zh-CN" w:bidi="ar"/>
              </w:rPr>
              <w:t>1,876,475.79</w:t>
            </w:r>
          </w:p>
        </w:tc>
      </w:tr>
    </w:tbl>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营业收入</w:t>
      </w:r>
    </w:p>
    <w:tbl>
      <w:tblPr>
        <w:tblStyle w:val="5"/>
        <w:tblW w:w="834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2"/>
        <w:gridCol w:w="2782"/>
        <w:gridCol w:w="278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项目</w:t>
            </w:r>
          </w:p>
        </w:tc>
        <w:tc>
          <w:tcPr>
            <w:tcW w:w="2782"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本期数</w:t>
            </w:r>
          </w:p>
        </w:tc>
        <w:tc>
          <w:tcPr>
            <w:tcW w:w="278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上年数</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kern w:val="0"/>
                <w:sz w:val="21"/>
                <w:szCs w:val="21"/>
                <w:lang w:val="en-US" w:eastAsia="zh-CN" w:bidi="ar"/>
              </w:rPr>
              <w:t>一、主营业务收入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color w:val="000000"/>
                <w:kern w:val="2"/>
                <w:sz w:val="21"/>
                <w:szCs w:val="21"/>
              </w:rPr>
            </w:pPr>
            <w:r>
              <w:rPr>
                <w:rFonts w:hint="eastAsia" w:ascii="宋体" w:hAnsi="宋体" w:eastAsia="宋体" w:cs="宋体"/>
                <w:kern w:val="0"/>
                <w:sz w:val="21"/>
                <w:szCs w:val="21"/>
                <w:lang w:val="en-US" w:eastAsia="zh-CN" w:bidi="ar"/>
              </w:rPr>
              <w:t>其中：资产管理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11,320,754.76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8,571,828.93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二、其他业务收入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2"/>
                <w:szCs w:val="22"/>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其中：资产管理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lang w:val="en-US" w:eastAsia="zh-CN"/>
              </w:rPr>
            </w:pPr>
            <w:r>
              <w:rPr>
                <w:rFonts w:hint="eastAsia" w:ascii="宋体" w:hAnsi="宋体" w:eastAsia="宋体" w:cs="宋体"/>
                <w:i w:val="0"/>
                <w:color w:val="000000"/>
                <w:kern w:val="0"/>
                <w:sz w:val="22"/>
                <w:szCs w:val="22"/>
                <w:lang w:val="en-US" w:eastAsia="zh-CN"/>
              </w:rPr>
              <w:t>-</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15,137.61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待建管理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184,465.69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2"/>
                <w:szCs w:val="22"/>
              </w:rPr>
            </w:pPr>
            <w:r>
              <w:rPr>
                <w:rFonts w:hint="eastAsia" w:ascii="宋体" w:hAnsi="宋体" w:eastAsia="宋体" w:cs="宋体"/>
                <w:i w:val="0"/>
                <w:color w:val="000000"/>
                <w:kern w:val="0"/>
                <w:sz w:val="22"/>
                <w:szCs w:val="22"/>
                <w:lang w:val="en-US" w:eastAsia="zh-CN" w:bidi="ar"/>
              </w:rPr>
              <w:t>1,490,462.37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1050" w:firstLineChars="500"/>
              <w:jc w:val="left"/>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土地租金收入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317,297.24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782"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rPr>
            </w:pPr>
            <w:r>
              <w:rPr>
                <w:rFonts w:hint="eastAsia" w:ascii="宋体" w:hAnsi="宋体" w:eastAsia="宋体" w:cs="宋体"/>
                <w:b/>
                <w:bCs/>
                <w:i w:val="0"/>
                <w:color w:val="000000"/>
                <w:kern w:val="0"/>
                <w:sz w:val="22"/>
                <w:szCs w:val="22"/>
                <w:lang w:val="en-US" w:eastAsia="zh-CN" w:bidi="ar"/>
              </w:rPr>
              <w:fldChar w:fldCharType="begin"/>
            </w:r>
            <w:r>
              <w:rPr>
                <w:rFonts w:hint="eastAsia" w:ascii="宋体" w:hAnsi="宋体" w:eastAsia="宋体" w:cs="宋体"/>
                <w:b/>
                <w:bCs/>
                <w:i w:val="0"/>
                <w:color w:val="000000"/>
                <w:kern w:val="0"/>
                <w:sz w:val="22"/>
                <w:szCs w:val="22"/>
                <w:lang w:val="en-US" w:eastAsia="zh-CN" w:bidi="ar"/>
              </w:rPr>
              <w:instrText xml:space="preserve"> = sum(B3:B7) \* MERGEFORMAT </w:instrText>
            </w:r>
            <w:r>
              <w:rPr>
                <w:rFonts w:hint="eastAsia" w:ascii="宋体" w:hAnsi="宋体" w:eastAsia="宋体" w:cs="宋体"/>
                <w:b/>
                <w:bCs/>
                <w:i w:val="0"/>
                <w:color w:val="000000"/>
                <w:kern w:val="0"/>
                <w:sz w:val="22"/>
                <w:szCs w:val="22"/>
                <w:lang w:val="en-US" w:eastAsia="zh-CN" w:bidi="ar"/>
              </w:rPr>
              <w:fldChar w:fldCharType="separate"/>
            </w:r>
            <w:r>
              <w:rPr>
                <w:rFonts w:hint="eastAsia" w:ascii="宋体" w:hAnsi="宋体" w:eastAsia="宋体" w:cs="宋体"/>
                <w:b/>
                <w:bCs/>
                <w:i w:val="0"/>
                <w:color w:val="000000"/>
                <w:kern w:val="0"/>
                <w:sz w:val="22"/>
                <w:szCs w:val="22"/>
                <w:lang w:val="en-US" w:eastAsia="zh-CN" w:bidi="ar"/>
              </w:rPr>
              <w:t>11,822,517.69</w:t>
            </w:r>
            <w:r>
              <w:rPr>
                <w:rFonts w:hint="eastAsia" w:ascii="宋体" w:hAnsi="宋体" w:eastAsia="宋体" w:cs="宋体"/>
                <w:b/>
                <w:bCs/>
                <w:i w:val="0"/>
                <w:color w:val="000000"/>
                <w:kern w:val="0"/>
                <w:sz w:val="22"/>
                <w:szCs w:val="22"/>
                <w:lang w:val="en-US" w:eastAsia="zh-CN" w:bidi="ar"/>
              </w:rPr>
              <w:fldChar w:fldCharType="end"/>
            </w:r>
          </w:p>
        </w:tc>
        <w:tc>
          <w:tcPr>
            <w:tcW w:w="278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2"/>
                <w:sz w:val="22"/>
                <w:szCs w:val="22"/>
              </w:rPr>
            </w:pPr>
            <w:r>
              <w:rPr>
                <w:rFonts w:hint="eastAsia" w:ascii="宋体" w:hAnsi="宋体" w:eastAsia="宋体" w:cs="宋体"/>
                <w:b/>
                <w:bCs/>
                <w:i w:val="0"/>
                <w:color w:val="000000"/>
                <w:kern w:val="0"/>
                <w:sz w:val="22"/>
                <w:szCs w:val="22"/>
                <w:lang w:val="en-US" w:eastAsia="zh-CN" w:bidi="ar"/>
              </w:rPr>
              <w:t xml:space="preserve">10,077,428.91 </w:t>
            </w:r>
          </w:p>
        </w:tc>
      </w:tr>
    </w:tbl>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管理费用</w:t>
      </w:r>
    </w:p>
    <w:tbl>
      <w:tblPr>
        <w:tblStyle w:val="5"/>
        <w:tblW w:w="834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2"/>
        <w:gridCol w:w="2782"/>
        <w:gridCol w:w="278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项目</w:t>
            </w:r>
          </w:p>
        </w:tc>
        <w:tc>
          <w:tcPr>
            <w:tcW w:w="2782"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both"/>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本期数</w:t>
            </w:r>
          </w:p>
        </w:tc>
        <w:tc>
          <w:tcPr>
            <w:tcW w:w="278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上年数</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color w:val="000000"/>
                <w:kern w:val="0"/>
                <w:sz w:val="21"/>
                <w:szCs w:val="21"/>
                <w:lang w:val="en-US" w:eastAsia="zh-CN" w:bidi="ar"/>
              </w:rPr>
              <w:t>工资</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6,806,909.46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5,813,993.06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color w:val="000000"/>
                <w:kern w:val="0"/>
                <w:sz w:val="21"/>
                <w:szCs w:val="21"/>
                <w:lang w:val="en-US" w:eastAsia="zh-CN" w:bidi="ar"/>
              </w:rPr>
              <w:t>职工福利</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59,692.00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39,862.00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社会保险</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1,012,585.45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887,882.41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住房公积金</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479,246.00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425,897.00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工会经费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114,979.04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105,610.48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lang w:val="en-US" w:eastAsia="zh-CN" w:bidi="ar"/>
                <w14:textFill>
                  <w14:solidFill>
                    <w14:schemeClr w14:val="tx1"/>
                  </w14:solidFill>
                </w14:textFill>
              </w:rPr>
              <w:t>职工教育经费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FF0000"/>
                <w:kern w:val="0"/>
                <w:sz w:val="21"/>
                <w:szCs w:val="21"/>
                <w:lang w:val="en-US" w:eastAsia="zh-CN"/>
              </w:rPr>
            </w:pPr>
            <w:r>
              <w:rPr>
                <w:rFonts w:hint="eastAsia" w:ascii="宋体" w:hAnsi="宋体" w:eastAsia="宋体" w:cs="宋体"/>
                <w:i w:val="0"/>
                <w:iCs w:val="0"/>
                <w:color w:val="FF0000"/>
                <w:kern w:val="0"/>
                <w:sz w:val="22"/>
                <w:szCs w:val="22"/>
                <w:u w:val="none"/>
                <w:lang w:val="en-US" w:eastAsia="zh-CN" w:bidi="ar"/>
              </w:rPr>
              <w:t>-</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FF0000"/>
                <w:kern w:val="2"/>
                <w:sz w:val="21"/>
                <w:szCs w:val="21"/>
              </w:rPr>
            </w:pPr>
            <w:r>
              <w:rPr>
                <w:rFonts w:hint="eastAsia" w:ascii="宋体" w:hAnsi="宋体" w:eastAsia="宋体" w:cs="宋体"/>
                <w:i w:val="0"/>
                <w:color w:val="000000" w:themeColor="text1"/>
                <w:kern w:val="0"/>
                <w:sz w:val="21"/>
                <w:szCs w:val="21"/>
                <w:lang w:val="en-US" w:eastAsia="zh-CN"/>
                <w14:textFill>
                  <w14:solidFill>
                    <w14:schemeClr w14:val="tx1"/>
                  </w14:solidFill>
                </w14:textFill>
              </w:rPr>
              <w:t>99，790.45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履职待遇</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92,339.50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84,000.00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办公费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91,116.39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75,733.67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差旅费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28,691.56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32,706.70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通讯费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31,153.99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33,427.74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车辆费用</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255,357.00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111,226.29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水电费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73,073.66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72,430.13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劳务费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1,400.00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650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办公上网费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43,831.59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31,754.77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资料费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57,028.80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50,490.76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设备维修费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66,488.41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45,430.10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培训费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2,500.00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会务费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1,350.00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公司经费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253,668.11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123,263.57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i w:val="0"/>
                <w:color w:val="000000" w:themeColor="text1"/>
                <w:kern w:val="0"/>
                <w:sz w:val="21"/>
                <w:szCs w:val="21"/>
                <w:lang w:val="en-US" w:eastAsia="zh-CN" w:bidi="ar"/>
                <w14:textFill>
                  <w14:solidFill>
                    <w14:schemeClr w14:val="tx1"/>
                  </w14:solidFill>
                </w14:textFill>
              </w:rPr>
              <w:t>企业文化建设</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kern w:val="0"/>
                <w:sz w:val="21"/>
                <w:szCs w:val="21"/>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204,275.65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i w:val="0"/>
                <w:color w:val="000000" w:themeColor="text1"/>
                <w:kern w:val="0"/>
                <w:sz w:val="21"/>
                <w:szCs w:val="21"/>
                <w:lang w:val="en-US" w:eastAsia="zh-CN" w:bidi="ar"/>
                <w14:textFill>
                  <w14:solidFill>
                    <w14:schemeClr w14:val="tx1"/>
                  </w14:solidFill>
                </w14:textFill>
              </w:rPr>
              <w:t>171,780.21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误餐费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5,912.00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4,280.00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执纪办案</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3,696.00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color w:val="000000"/>
                <w:kern w:val="0"/>
                <w:sz w:val="21"/>
                <w:szCs w:val="21"/>
                <w:lang w:val="en-US" w:eastAsia="zh-CN" w:bidi="ar"/>
              </w:rPr>
            </w:pPr>
            <w:r>
              <w:rPr>
                <w:rFonts w:hint="eastAsia" w:ascii="宋体" w:hAnsi="宋体" w:eastAsia="宋体" w:cs="宋体"/>
                <w:i w:val="0"/>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监事会经费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2,647.00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color w:val="000000"/>
                <w:kern w:val="0"/>
                <w:sz w:val="21"/>
                <w:szCs w:val="21"/>
                <w:lang w:val="en-US" w:eastAsia="zh-CN" w:bidi="ar"/>
              </w:rPr>
            </w:pPr>
            <w:r>
              <w:rPr>
                <w:rFonts w:hint="eastAsia" w:ascii="宋体" w:hAnsi="宋体" w:eastAsia="宋体" w:cs="宋体"/>
                <w:i w:val="0"/>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其他费用</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26,501.89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8,611.38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摊销性费用</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iCs w:val="0"/>
                <w:color w:val="000000"/>
                <w:kern w:val="0"/>
                <w:sz w:val="22"/>
                <w:szCs w:val="22"/>
                <w:u w:val="none"/>
                <w:lang w:val="en-US" w:eastAsia="zh-CN" w:bidi="ar"/>
              </w:rPr>
              <w:t xml:space="preserve">107,360.29 </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64,311.39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782"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fldChar w:fldCharType="begin"/>
            </w:r>
            <w:r>
              <w:rPr>
                <w:rFonts w:hint="eastAsia" w:ascii="宋体" w:hAnsi="宋体" w:eastAsia="宋体" w:cs="宋体"/>
                <w:i w:val="0"/>
                <w:color w:val="000000"/>
                <w:kern w:val="0"/>
                <w:sz w:val="21"/>
                <w:szCs w:val="21"/>
              </w:rPr>
              <w:instrText xml:space="preserve"> = sum(B2:B26) \* MERGEFORMAT </w:instrText>
            </w:r>
            <w:r>
              <w:rPr>
                <w:rFonts w:hint="eastAsia" w:ascii="宋体" w:hAnsi="宋体" w:eastAsia="宋体" w:cs="宋体"/>
                <w:i w:val="0"/>
                <w:color w:val="000000"/>
                <w:kern w:val="0"/>
                <w:sz w:val="21"/>
                <w:szCs w:val="21"/>
              </w:rPr>
              <w:fldChar w:fldCharType="separate"/>
            </w:r>
            <w:r>
              <w:rPr>
                <w:rFonts w:hint="eastAsia" w:ascii="宋体" w:hAnsi="宋体" w:eastAsia="宋体" w:cs="宋体"/>
                <w:i w:val="0"/>
                <w:color w:val="000000"/>
                <w:kern w:val="0"/>
                <w:sz w:val="21"/>
                <w:szCs w:val="21"/>
              </w:rPr>
              <w:t>98</w:t>
            </w:r>
            <w:r>
              <w:rPr>
                <w:rFonts w:hint="eastAsia" w:ascii="宋体" w:hAnsi="宋体" w:eastAsia="宋体" w:cs="宋体"/>
                <w:i w:val="0"/>
                <w:color w:val="000000"/>
                <w:kern w:val="0"/>
                <w:sz w:val="21"/>
                <w:szCs w:val="21"/>
                <w:lang w:val="en-US" w:eastAsia="zh-CN"/>
              </w:rPr>
              <w:t>,</w:t>
            </w:r>
            <w:r>
              <w:rPr>
                <w:rFonts w:hint="eastAsia" w:ascii="宋体" w:hAnsi="宋体" w:eastAsia="宋体" w:cs="宋体"/>
                <w:i w:val="0"/>
                <w:color w:val="000000"/>
                <w:kern w:val="0"/>
                <w:sz w:val="21"/>
                <w:szCs w:val="21"/>
              </w:rPr>
              <w:t>19</w:t>
            </w:r>
            <w:r>
              <w:rPr>
                <w:rFonts w:hint="eastAsia" w:ascii="宋体" w:hAnsi="宋体" w:eastAsia="宋体" w:cs="宋体"/>
                <w:i w:val="0"/>
                <w:color w:val="000000"/>
                <w:kern w:val="0"/>
                <w:sz w:val="21"/>
                <w:szCs w:val="21"/>
                <w:lang w:val="en-US" w:eastAsia="zh-CN"/>
              </w:rPr>
              <w:t>,</w:t>
            </w:r>
            <w:r>
              <w:rPr>
                <w:rFonts w:hint="eastAsia" w:ascii="宋体" w:hAnsi="宋体" w:eastAsia="宋体" w:cs="宋体"/>
                <w:i w:val="0"/>
                <w:color w:val="000000"/>
                <w:kern w:val="0"/>
                <w:sz w:val="21"/>
                <w:szCs w:val="21"/>
              </w:rPr>
              <w:t>303.79</w:t>
            </w:r>
            <w:r>
              <w:rPr>
                <w:rFonts w:hint="eastAsia" w:ascii="宋体" w:hAnsi="宋体" w:eastAsia="宋体" w:cs="宋体"/>
                <w:i w:val="0"/>
                <w:color w:val="000000"/>
                <w:kern w:val="0"/>
                <w:sz w:val="21"/>
                <w:szCs w:val="21"/>
              </w:rPr>
              <w:fldChar w:fldCharType="end"/>
            </w:r>
          </w:p>
        </w:tc>
        <w:tc>
          <w:tcPr>
            <w:tcW w:w="278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i w:val="0"/>
                <w:color w:val="000000"/>
                <w:kern w:val="2"/>
                <w:sz w:val="21"/>
                <w:szCs w:val="21"/>
              </w:rPr>
            </w:pPr>
            <w:r>
              <w:rPr>
                <w:rFonts w:hint="eastAsia" w:ascii="宋体" w:hAnsi="宋体" w:eastAsia="宋体" w:cs="宋体"/>
                <w:b/>
                <w:bCs/>
                <w:i w:val="0"/>
                <w:color w:val="000000"/>
                <w:kern w:val="0"/>
                <w:sz w:val="21"/>
                <w:szCs w:val="21"/>
                <w:lang w:val="en-US" w:eastAsia="zh-CN" w:bidi="ar"/>
              </w:rPr>
              <w:t>8,285,632.11</w:t>
            </w:r>
          </w:p>
        </w:tc>
      </w:tr>
    </w:tbl>
    <w:p>
      <w:pPr>
        <w:keepNext w:val="0"/>
        <w:keepLines w:val="0"/>
        <w:widowControl w:val="0"/>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 xml:space="preserve"> </w:t>
      </w:r>
    </w:p>
    <w:p>
      <w:pPr>
        <w:keepNext w:val="0"/>
        <w:keepLines w:val="0"/>
        <w:widowControl w:val="0"/>
        <w:numPr>
          <w:ilvl w:val="0"/>
          <w:numId w:val="0"/>
        </w:numPr>
        <w:suppressLineNumbers w:val="0"/>
        <w:spacing w:before="0" w:beforeAutospacing="0" w:after="0" w:afterAutospacing="0" w:line="360" w:lineRule="auto"/>
        <w:ind w:leftChars="200" w:right="0" w:rightChars="0" w:firstLine="480" w:firstLineChars="200"/>
        <w:jc w:val="both"/>
        <w:rPr>
          <w:rFonts w:hint="default"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line="360" w:lineRule="auto"/>
        <w:ind w:right="0"/>
        <w:jc w:val="both"/>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line="360" w:lineRule="auto"/>
        <w:ind w:left="570" w:right="120"/>
        <w:jc w:val="righ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海口市三江发控公司发展控股有限公司</w:t>
      </w:r>
    </w:p>
    <w:p>
      <w:pPr>
        <w:keepNext w:val="0"/>
        <w:keepLines w:val="0"/>
        <w:widowControl w:val="0"/>
        <w:suppressLineNumbers w:val="0"/>
        <w:spacing w:before="0" w:beforeAutospacing="0" w:after="0" w:afterAutospacing="0" w:line="360" w:lineRule="auto"/>
        <w:ind w:left="570" w:right="120"/>
        <w:jc w:val="right"/>
      </w:pPr>
      <w:r>
        <w:rPr>
          <w:rFonts w:hint="eastAsia" w:ascii="宋体" w:hAnsi="宋体" w:eastAsia="宋体" w:cs="宋体"/>
          <w:kern w:val="2"/>
          <w:sz w:val="24"/>
          <w:szCs w:val="24"/>
          <w:lang w:val="en-US" w:eastAsia="zh-CN" w:bidi="ar"/>
        </w:rPr>
        <w:t>2023年02月06日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7D9D6"/>
    <w:multiLevelType w:val="multilevel"/>
    <w:tmpl w:val="1B37D9D6"/>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3AE03578"/>
    <w:multiLevelType w:val="multilevel"/>
    <w:tmpl w:val="3AE03578"/>
    <w:lvl w:ilvl="0" w:tentative="0">
      <w:start w:val="1"/>
      <w:numFmt w:val="japaneseCounting"/>
      <w:lvlText w:val="（%1）"/>
      <w:lvlJc w:val="left"/>
      <w:pPr>
        <w:ind w:left="1142" w:hanging="720"/>
      </w:pPr>
      <w:rPr>
        <w:rFonts w:hint="default" w:ascii="Times New Roman" w:hAnsi="Times New Roman" w:cs="Times New Roman"/>
      </w:rPr>
    </w:lvl>
    <w:lvl w:ilvl="1" w:tentative="0">
      <w:start w:val="1"/>
      <w:numFmt w:val="lowerLetter"/>
      <w:lvlText w:val="%2)"/>
      <w:lvlJc w:val="left"/>
      <w:pPr>
        <w:ind w:left="1262" w:hanging="420"/>
      </w:pPr>
      <w:rPr>
        <w:rFonts w:hint="default" w:ascii="Times New Roman" w:hAnsi="Times New Roman" w:cs="Times New Roman"/>
      </w:rPr>
    </w:lvl>
    <w:lvl w:ilvl="2" w:tentative="0">
      <w:start w:val="1"/>
      <w:numFmt w:val="lowerRoman"/>
      <w:lvlText w:val="%3."/>
      <w:lvlJc w:val="right"/>
      <w:pPr>
        <w:ind w:left="1682" w:hanging="420"/>
      </w:pPr>
      <w:rPr>
        <w:rFonts w:hint="default" w:ascii="Times New Roman" w:hAnsi="Times New Roman" w:cs="Times New Roman"/>
      </w:rPr>
    </w:lvl>
    <w:lvl w:ilvl="3" w:tentative="0">
      <w:start w:val="1"/>
      <w:numFmt w:val="decimal"/>
      <w:lvlText w:val="%4."/>
      <w:lvlJc w:val="left"/>
      <w:pPr>
        <w:ind w:left="2102" w:hanging="420"/>
      </w:pPr>
      <w:rPr>
        <w:rFonts w:hint="default" w:ascii="Times New Roman" w:hAnsi="Times New Roman" w:cs="Times New Roman"/>
      </w:rPr>
    </w:lvl>
    <w:lvl w:ilvl="4" w:tentative="0">
      <w:start w:val="1"/>
      <w:numFmt w:val="lowerLetter"/>
      <w:lvlText w:val="%5)"/>
      <w:lvlJc w:val="left"/>
      <w:pPr>
        <w:ind w:left="2522" w:hanging="420"/>
      </w:pPr>
      <w:rPr>
        <w:rFonts w:hint="default" w:ascii="Times New Roman" w:hAnsi="Times New Roman" w:cs="Times New Roman"/>
      </w:rPr>
    </w:lvl>
    <w:lvl w:ilvl="5" w:tentative="0">
      <w:start w:val="1"/>
      <w:numFmt w:val="lowerRoman"/>
      <w:lvlText w:val="%6."/>
      <w:lvlJc w:val="right"/>
      <w:pPr>
        <w:ind w:left="2942" w:hanging="420"/>
      </w:pPr>
      <w:rPr>
        <w:rFonts w:hint="default" w:ascii="Times New Roman" w:hAnsi="Times New Roman" w:cs="Times New Roman"/>
      </w:rPr>
    </w:lvl>
    <w:lvl w:ilvl="6" w:tentative="0">
      <w:start w:val="1"/>
      <w:numFmt w:val="decimal"/>
      <w:lvlText w:val="%7."/>
      <w:lvlJc w:val="left"/>
      <w:pPr>
        <w:ind w:left="3362" w:hanging="420"/>
      </w:pPr>
      <w:rPr>
        <w:rFonts w:hint="default" w:ascii="Times New Roman" w:hAnsi="Times New Roman" w:cs="Times New Roman"/>
      </w:rPr>
    </w:lvl>
    <w:lvl w:ilvl="7" w:tentative="0">
      <w:start w:val="1"/>
      <w:numFmt w:val="lowerLetter"/>
      <w:lvlText w:val="%8)"/>
      <w:lvlJc w:val="left"/>
      <w:pPr>
        <w:ind w:left="3782" w:hanging="420"/>
      </w:pPr>
      <w:rPr>
        <w:rFonts w:hint="default" w:ascii="Times New Roman" w:hAnsi="Times New Roman" w:cs="Times New Roman"/>
      </w:rPr>
    </w:lvl>
    <w:lvl w:ilvl="8" w:tentative="0">
      <w:start w:val="1"/>
      <w:numFmt w:val="lowerRoman"/>
      <w:lvlText w:val="%9."/>
      <w:lvlJc w:val="right"/>
      <w:pPr>
        <w:ind w:left="4202" w:hanging="42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GRlZjUxYzk1MDA0ZTMwMTBlZmEyMTI1NDc1ZWMifQ=="/>
  </w:docVars>
  <w:rsids>
    <w:rsidRoot w:val="00172A27"/>
    <w:rsid w:val="01275F05"/>
    <w:rsid w:val="01E376F2"/>
    <w:rsid w:val="03E65A3F"/>
    <w:rsid w:val="0636115E"/>
    <w:rsid w:val="078C5D74"/>
    <w:rsid w:val="08A93C7E"/>
    <w:rsid w:val="09BA778A"/>
    <w:rsid w:val="0ADA0C7A"/>
    <w:rsid w:val="0CB437FC"/>
    <w:rsid w:val="0DB3724A"/>
    <w:rsid w:val="0DD64BF1"/>
    <w:rsid w:val="0DDC0E03"/>
    <w:rsid w:val="0DED7D97"/>
    <w:rsid w:val="116E2D72"/>
    <w:rsid w:val="1EF503D0"/>
    <w:rsid w:val="1F3A54FE"/>
    <w:rsid w:val="22BC0381"/>
    <w:rsid w:val="230E1A60"/>
    <w:rsid w:val="24FE76F1"/>
    <w:rsid w:val="26C11862"/>
    <w:rsid w:val="27FE7DD9"/>
    <w:rsid w:val="29416725"/>
    <w:rsid w:val="344A5A04"/>
    <w:rsid w:val="34DE083C"/>
    <w:rsid w:val="35DB71FC"/>
    <w:rsid w:val="3C5B6F72"/>
    <w:rsid w:val="3E9E05F6"/>
    <w:rsid w:val="3EA00D18"/>
    <w:rsid w:val="41BF1594"/>
    <w:rsid w:val="443E7EC2"/>
    <w:rsid w:val="4863590B"/>
    <w:rsid w:val="4C7B4C2C"/>
    <w:rsid w:val="4D152862"/>
    <w:rsid w:val="4E4861BF"/>
    <w:rsid w:val="4E5B78ED"/>
    <w:rsid w:val="4F095B48"/>
    <w:rsid w:val="4F563FC1"/>
    <w:rsid w:val="54C30D1E"/>
    <w:rsid w:val="578F6255"/>
    <w:rsid w:val="58A85637"/>
    <w:rsid w:val="5A501F08"/>
    <w:rsid w:val="5A7D1A58"/>
    <w:rsid w:val="5C19371C"/>
    <w:rsid w:val="5D224CD6"/>
    <w:rsid w:val="5D2E1EBB"/>
    <w:rsid w:val="5F0B1686"/>
    <w:rsid w:val="63A665B1"/>
    <w:rsid w:val="65A20695"/>
    <w:rsid w:val="65CD0D2C"/>
    <w:rsid w:val="66701C76"/>
    <w:rsid w:val="67C61E90"/>
    <w:rsid w:val="68CF45AF"/>
    <w:rsid w:val="6A105C66"/>
    <w:rsid w:val="6B5C1A04"/>
    <w:rsid w:val="6FE211DA"/>
    <w:rsid w:val="72D91AEC"/>
    <w:rsid w:val="73E33750"/>
    <w:rsid w:val="7B165E4F"/>
    <w:rsid w:val="7CD22842"/>
    <w:rsid w:val="7EAF5EC3"/>
    <w:rsid w:val="7EF4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keepNext w:val="0"/>
      <w:keepLines w:val="0"/>
      <w:widowControl w:val="0"/>
      <w:suppressLineNumbers w:val="0"/>
      <w:spacing w:after="0" w:afterAutospacing="1"/>
      <w:ind w:firstLine="720" w:firstLineChars="300"/>
      <w:jc w:val="both"/>
    </w:pPr>
    <w:rPr>
      <w:rFonts w:hint="default" w:ascii="Times New Roman" w:hAnsi="Times New Roman" w:cs="Times New Roman"/>
      <w:kern w:val="2"/>
      <w:sz w:val="24"/>
      <w:szCs w:val="24"/>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2"/>
      <w:sz w:val="21"/>
      <w:szCs w:val="21"/>
      <w:lang w:val="en-US" w:eastAsia="zh-CN" w:bidi="ar"/>
    </w:rPr>
  </w:style>
  <w:style w:type="character" w:customStyle="1" w:styleId="7">
    <w:name w:val="15"/>
    <w:basedOn w:val="6"/>
    <w:qFormat/>
    <w:uiPriority w:val="0"/>
    <w:rPr>
      <w:rFonts w:hint="default" w:ascii="Times New Roman" w:hAnsi="Times New Roman" w:cs="Times New Roman"/>
    </w:rPr>
  </w:style>
  <w:style w:type="paragraph" w:customStyle="1" w:styleId="8">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9">
    <w:name w:val="10"/>
    <w:basedOn w:val="6"/>
    <w:qFormat/>
    <w:uiPriority w:val="0"/>
    <w:rPr>
      <w:rFonts w:hint="default" w:ascii="Times New Roman" w:hAnsi="Times New Roman" w:cs="Times New Roman"/>
    </w:rPr>
  </w:style>
  <w:style w:type="paragraph" w:customStyle="1" w:styleId="10">
    <w:name w:val="xl27"/>
    <w:basedOn w:val="1"/>
    <w:qFormat/>
    <w:uiPriority w:val="0"/>
    <w:pPr>
      <w:keepNext w:val="0"/>
      <w:keepLines w:val="0"/>
      <w:widowControl/>
      <w:suppressLineNumbers w:val="0"/>
      <w:spacing w:before="0" w:beforeAutospacing="1" w:after="0" w:afterAutospacing="1"/>
      <w:jc w:val="center"/>
    </w:pPr>
    <w:rPr>
      <w:rFonts w:hint="eastAsia" w:ascii="楷体_GB2312" w:hAnsi="Arial Unicode MS" w:eastAsia="楷体_GB2312" w:cs="楷体_GB2312"/>
      <w:kern w:val="0"/>
      <w:sz w:val="24"/>
      <w:szCs w:val="24"/>
      <w:lang w:val="en-US" w:eastAsia="zh-CN" w:bidi="ar"/>
    </w:rPr>
  </w:style>
  <w:style w:type="paragraph" w:customStyle="1" w:styleId="11">
    <w:name w:val="Other|1"/>
    <w:basedOn w:val="1"/>
    <w:qFormat/>
    <w:uiPriority w:val="0"/>
    <w:pPr>
      <w:keepNext w:val="0"/>
      <w:keepLines w:val="0"/>
      <w:widowControl w:val="0"/>
      <w:suppressLineNumbers w:val="0"/>
      <w:spacing w:before="0" w:beforeAutospacing="0" w:after="0" w:afterAutospacing="0"/>
      <w:ind w:left="0" w:right="0"/>
      <w:jc w:val="center"/>
    </w:pPr>
    <w:rPr>
      <w:rFonts w:hint="default" w:ascii="Times New Roman" w:hAnsi="Times New Roman" w:cs="Times New Roman"/>
      <w:kern w:val="2"/>
      <w:sz w:val="20"/>
      <w:szCs w:val="20"/>
      <w:lang w:val="en-US" w:eastAsia="zh-CN" w:bidi="ar"/>
    </w:rPr>
  </w:style>
  <w:style w:type="paragraph" w:customStyle="1" w:styleId="12">
    <w:name w:val="附注－正文"/>
    <w:basedOn w:val="3"/>
    <w:qFormat/>
    <w:uiPriority w:val="0"/>
    <w:pPr>
      <w:keepNext w:val="0"/>
      <w:keepLines w:val="0"/>
      <w:widowControl w:val="0"/>
      <w:suppressLineNumbers w:val="0"/>
      <w:adjustRightInd w:val="0"/>
      <w:snapToGrid w:val="0"/>
      <w:spacing w:after="0" w:afterLines="50" w:afterAutospacing="0" w:line="360" w:lineRule="auto"/>
      <w:ind w:left="0" w:firstLine="200" w:firstLineChars="20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17183</Words>
  <Characters>22983</Characters>
  <Lines>1</Lines>
  <Paragraphs>1</Paragraphs>
  <TotalTime>39</TotalTime>
  <ScaleCrop>false</ScaleCrop>
  <LinksUpToDate>false</LinksUpToDate>
  <CharactersWithSpaces>23441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2022-02-16T07:27:00Z</dcterms:created>
  <dc:creator>孤独的旅行者</dc:creator>
  <cp:lastModifiedBy>LENOVO</cp:lastModifiedBy>
  <dcterms:modified xsi:type="dcterms:W3CDTF">2023-03-09T04:30:56Z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072AF9CE66684B6A9E24DC6B2F6037D3</vt:lpwstr>
  </property>
</Properties>
</file>