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val="0"/>
          <w:bCs w:val="0"/>
          <w:color w:val="000000" w:themeColor="text1"/>
          <w:sz w:val="48"/>
          <w:szCs w:val="48"/>
          <w:highlight w:val="none"/>
          <w:lang w:val="en-US" w:eastAsia="zh-CN"/>
          <w14:textFill>
            <w14:solidFill>
              <w14:schemeClr w14:val="tx1"/>
            </w14:solidFill>
          </w14:textFill>
        </w:rPr>
      </w:pPr>
      <w:bookmarkStart w:id="0" w:name="OLE_LINK2"/>
      <w:r>
        <w:rPr>
          <w:rFonts w:hint="eastAsia" w:ascii="黑体" w:hAnsi="黑体" w:eastAsia="黑体" w:cs="黑体"/>
          <w:b w:val="0"/>
          <w:bCs w:val="0"/>
          <w:color w:val="000000" w:themeColor="text1"/>
          <w:sz w:val="48"/>
          <w:szCs w:val="48"/>
          <w:highlight w:val="none"/>
          <w:lang w:val="en-US" w:eastAsia="zh-CN"/>
          <w14:textFill>
            <w14:solidFill>
              <w14:schemeClr w14:val="tx1"/>
            </w14:solidFill>
          </w14:textFill>
        </w:rPr>
        <w:t>海口市三江农场发展控股有限公司</w:t>
      </w:r>
    </w:p>
    <w:p>
      <w:pPr>
        <w:spacing w:line="720" w:lineRule="auto"/>
        <w:jc w:val="center"/>
        <w:rPr>
          <w:rFonts w:hint="eastAsia" w:ascii="黑体" w:hAnsi="黑体" w:eastAsia="黑体" w:cs="黑体"/>
          <w:b w:val="0"/>
          <w:bCs w:val="0"/>
          <w:color w:val="000000" w:themeColor="text1"/>
          <w:sz w:val="48"/>
          <w:szCs w:val="48"/>
          <w:lang w:eastAsia="zh-CN"/>
          <w14:textFill>
            <w14:solidFill>
              <w14:schemeClr w14:val="tx1"/>
            </w14:solidFill>
          </w14:textFill>
        </w:rPr>
      </w:pPr>
      <w:r>
        <w:rPr>
          <w:rFonts w:hint="eastAsia" w:ascii="黑体" w:hAnsi="黑体" w:eastAsia="黑体" w:cs="黑体"/>
          <w:b w:val="0"/>
          <w:bCs w:val="0"/>
          <w:color w:val="000000" w:themeColor="text1"/>
          <w:sz w:val="48"/>
          <w:szCs w:val="48"/>
          <w14:textFill>
            <w14:solidFill>
              <w14:schemeClr w14:val="tx1"/>
            </w14:solidFill>
          </w14:textFill>
        </w:rPr>
        <w:t>企业年金</w:t>
      </w:r>
      <w:r>
        <w:rPr>
          <w:rFonts w:hint="eastAsia" w:ascii="黑体" w:hAnsi="黑体" w:eastAsia="黑体" w:cs="黑体"/>
          <w:b w:val="0"/>
          <w:bCs w:val="0"/>
          <w:color w:val="000000" w:themeColor="text1"/>
          <w:sz w:val="48"/>
          <w:szCs w:val="48"/>
          <w:lang w:val="en-US" w:eastAsia="zh-CN"/>
          <w14:textFill>
            <w14:solidFill>
              <w14:schemeClr w14:val="tx1"/>
            </w14:solidFill>
          </w14:textFill>
        </w:rPr>
        <w:t>受托管理服务</w:t>
      </w:r>
    </w:p>
    <w:bookmarkEnd w:id="0"/>
    <w:p>
      <w:pPr>
        <w:spacing w:line="720" w:lineRule="auto"/>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pPr>
        <w:spacing w:line="720" w:lineRule="auto"/>
        <w:jc w:val="center"/>
        <w:rPr>
          <w:rFonts w:hint="eastAsia" w:ascii="黑体" w:hAnsi="黑体" w:eastAsia="黑体" w:cs="黑体"/>
          <w:b w:val="0"/>
          <w:bCs w:val="0"/>
          <w:color w:val="000000" w:themeColor="text1"/>
          <w:sz w:val="72"/>
          <w:szCs w:val="72"/>
          <w14:textFill>
            <w14:solidFill>
              <w14:schemeClr w14:val="tx1"/>
            </w14:solidFill>
          </w14:textFill>
        </w:rPr>
      </w:pPr>
      <w:r>
        <w:rPr>
          <w:rFonts w:hint="eastAsia" w:ascii="黑体" w:hAnsi="黑体" w:eastAsia="黑体" w:cs="黑体"/>
          <w:b w:val="0"/>
          <w:bCs w:val="0"/>
          <w:color w:val="000000" w:themeColor="text1"/>
          <w:sz w:val="72"/>
          <w:szCs w:val="72"/>
          <w:lang w:val="en-US" w:eastAsia="zh-CN"/>
          <w14:textFill>
            <w14:solidFill>
              <w14:schemeClr w14:val="tx1"/>
            </w14:solidFill>
          </w14:textFill>
        </w:rPr>
        <w:t>比选</w:t>
      </w:r>
      <w:r>
        <w:rPr>
          <w:rFonts w:hint="eastAsia" w:ascii="黑体" w:hAnsi="黑体" w:eastAsia="黑体" w:cs="黑体"/>
          <w:b w:val="0"/>
          <w:bCs w:val="0"/>
          <w:color w:val="000000" w:themeColor="text1"/>
          <w:sz w:val="72"/>
          <w:szCs w:val="72"/>
          <w14:textFill>
            <w14:solidFill>
              <w14:schemeClr w14:val="tx1"/>
            </w14:solidFill>
          </w14:textFill>
        </w:rPr>
        <w:t>文件</w:t>
      </w:r>
    </w:p>
    <w:p>
      <w:pPr>
        <w:spacing w:afterLines="50" w:line="360" w:lineRule="auto"/>
        <w:jc w:val="center"/>
        <w:rPr>
          <w:rFonts w:hint="eastAsia" w:ascii="黑体" w:hAnsi="黑体" w:eastAsia="黑体" w:cs="黑体"/>
          <w:b/>
          <w:bCs/>
          <w:color w:val="000000" w:themeColor="text1"/>
          <w:sz w:val="48"/>
          <w:szCs w:val="48"/>
          <w14:textFill>
            <w14:solidFill>
              <w14:schemeClr w14:val="tx1"/>
            </w14:solidFill>
          </w14:textFill>
        </w:rPr>
      </w:pPr>
    </w:p>
    <w:p>
      <w:pPr>
        <w:spacing w:afterLines="50" w:line="360" w:lineRule="auto"/>
        <w:jc w:val="center"/>
        <w:rPr>
          <w:rFonts w:hint="eastAsia" w:ascii="黑体" w:hAnsi="黑体" w:eastAsia="黑体" w:cs="黑体"/>
          <w:b/>
          <w:bCs/>
          <w:color w:val="000000" w:themeColor="text1"/>
          <w:sz w:val="48"/>
          <w:szCs w:val="48"/>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p>
    <w:p>
      <w:pPr>
        <w:spacing w:line="72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招标</w:t>
      </w:r>
      <w:r>
        <w:rPr>
          <w:rFonts w:hint="eastAsia" w:ascii="仿宋" w:hAnsi="仿宋" w:eastAsia="仿宋" w:cs="仿宋"/>
          <w:b/>
          <w:bCs/>
          <w:color w:val="000000" w:themeColor="text1"/>
          <w:sz w:val="28"/>
          <w:szCs w:val="28"/>
          <w:highlight w:val="none"/>
          <w:lang w:eastAsia="zh-CN"/>
          <w14:textFill>
            <w14:solidFill>
              <w14:schemeClr w14:val="tx1"/>
            </w14:solidFill>
          </w14:textFill>
        </w:rPr>
        <w:t>人</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海口市三江农场发展控股有限</w:t>
      </w:r>
      <w:r>
        <w:rPr>
          <w:rFonts w:hint="eastAsia" w:ascii="仿宋" w:hAnsi="仿宋" w:eastAsia="仿宋" w:cs="仿宋"/>
          <w:b/>
          <w:bCs/>
          <w:color w:val="000000" w:themeColor="text1"/>
          <w:sz w:val="28"/>
          <w:szCs w:val="28"/>
          <w:highlight w:val="none"/>
          <w:lang w:eastAsia="zh-CN"/>
          <w14:textFill>
            <w14:solidFill>
              <w14:schemeClr w14:val="tx1"/>
            </w14:solidFill>
          </w14:textFill>
        </w:rPr>
        <w:t>公司</w:t>
      </w:r>
    </w:p>
    <w:p>
      <w:pPr>
        <w:spacing w:line="360" w:lineRule="auto"/>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二Ο二五年九月</w:t>
      </w:r>
    </w:p>
    <w:p>
      <w:pPr>
        <w:spacing w:beforeLines="50" w:afterLines="100"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pPr>
        <w:numPr>
          <w:ilvl w:val="0"/>
          <w:numId w:val="1"/>
        </w:numPr>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 w:name="_Toc455781328"/>
      <w:r>
        <w:rPr>
          <w:rFonts w:hint="eastAsia" w:ascii="仿宋" w:hAnsi="仿宋" w:eastAsia="仿宋" w:cs="仿宋"/>
          <w:b/>
          <w:color w:val="000000" w:themeColor="text1"/>
          <w:sz w:val="32"/>
          <w:szCs w:val="32"/>
          <w:highlight w:val="none"/>
          <w14:textFill>
            <w14:solidFill>
              <w14:schemeClr w14:val="tx1"/>
            </w14:solidFill>
          </w14:textFill>
        </w:rPr>
        <w:t>项目介绍</w:t>
      </w:r>
      <w:bookmarkEnd w:id="1"/>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bookmarkStart w:id="2" w:name="OLE_LINK1"/>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根据工作需要，海口市三江农场发展控股有限公司</w:t>
      </w:r>
      <w:bookmarkEnd w:id="2"/>
      <w:r>
        <w:rPr>
          <w:rFonts w:hint="eastAsia" w:ascii="仿宋" w:hAnsi="仿宋" w:eastAsia="仿宋" w:cs="仿宋"/>
          <w:b w:val="0"/>
          <w:bCs/>
          <w:color w:val="000000" w:themeColor="text1"/>
          <w:sz w:val="28"/>
          <w:szCs w:val="28"/>
          <w:lang w:val="en-US" w:eastAsia="zh-CN"/>
          <w14:textFill>
            <w14:solidFill>
              <w14:schemeClr w14:val="tx1"/>
            </w14:solidFill>
          </w14:textFill>
        </w:rPr>
        <w:t>对具备企业年金基金受托人资格的法人机构进行公开比选，诚邀企业年金受托机构参与此项目的比选。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一、采购项目名称、内容、价格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1、采购项目名称： 海口市三江农场发展控股有限公司企业年金计划受托管理机构服务采购。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2、采购项目内容：海口市三江农场发展控股有限公司企业年金受托管理服务，服务时间为三年，若合同到期双方无异议，可续签合同。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3、项目预算（最高价）：以企业年金财产净值为基数，受托管理费率不超过0.2%。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二、资格条件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1、具备中华人民共和国人力资源和社会保障部认定并颁发的有效的《企业年金基金管理机构资格认证书》(资质类型:受托人)，具有企业年金基金受托人资格;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2、若为分支机构参选，则应出具针对本项目资格的授权证明(分支机构及机构总部仅允许一家报名)；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3.参选人单位在国家企业信用信息公示系统上未被列入严重违法失信企业名单（黑名单）信息；未被信用中国列入失信被执行人。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三、具体要求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1、提供企业年金基金受托机构的营业执照副本复印件、资格证书及授权证明(如有)，并加盖单位公章;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2、参选人单位在国家企业</w:t>
      </w:r>
      <w:bookmarkStart w:id="11" w:name="_GoBack"/>
      <w:bookmarkEnd w:id="11"/>
      <w:r>
        <w:rPr>
          <w:rFonts w:hint="eastAsia" w:ascii="仿宋" w:hAnsi="仿宋" w:eastAsia="仿宋" w:cs="仿宋"/>
          <w:b w:val="0"/>
          <w:bCs/>
          <w:color w:val="000000" w:themeColor="text1"/>
          <w:sz w:val="28"/>
          <w:szCs w:val="28"/>
          <w:lang w:val="en-US" w:eastAsia="zh-CN"/>
          <w14:textFill>
            <w14:solidFill>
              <w14:schemeClr w14:val="tx1"/>
            </w14:solidFill>
          </w14:textFill>
        </w:rPr>
        <w:t>信用信息公示系统上未被列入严重违法失信企业名单（黑名单）信息（提供承诺函并加盖公章）；未被信用中国列入失信被执行人（提供证明材料并加盖公章）。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 w:hAnsi="仿宋" w:eastAsia="仿宋" w:cs="仿宋"/>
          <w:b w:val="0"/>
          <w:bCs/>
          <w:color w:val="000000" w:themeColor="text1"/>
          <w:sz w:val="28"/>
          <w:szCs w:val="28"/>
          <w:lang w:val="en-US" w:eastAsia="zh-CN"/>
          <w14:textFill>
            <w14:solidFill>
              <w14:schemeClr w14:val="tx1"/>
            </w14:solidFill>
          </w14:textFill>
        </w:rPr>
        <w:t>3、投标文件自行制作，密封盖章。投标文件含正本壹份，副本</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贰</w:t>
      </w:r>
      <w:r>
        <w:rPr>
          <w:rFonts w:hint="eastAsia" w:ascii="仿宋" w:hAnsi="仿宋" w:eastAsia="仿宋" w:cs="仿宋"/>
          <w:b w:val="0"/>
          <w:bCs/>
          <w:color w:val="000000" w:themeColor="text1"/>
          <w:sz w:val="28"/>
          <w:szCs w:val="28"/>
          <w:lang w:val="en-US" w:eastAsia="zh-CN"/>
          <w14:textFill>
            <w14:solidFill>
              <w14:schemeClr w14:val="tx1"/>
            </w14:solidFill>
          </w14:textFill>
        </w:rPr>
        <w:t>份，注明“正本”、“副本”字样，副本应与正本完全一致。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4、受托人应当履行下列职责：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 选择、监督、更换账户管理人、托管人、投资管理人；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 制定企业年金基金战略资产配置策略；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 根据合同对企业年金基金管理进行监督；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（4） 根据合同收取企业和职工缴费，向受益人支付企业年金待遇，并在合同中约定具体的履行方式；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 接受委托人查询，定期向委托人提交企业年金基金管理和财务会计报告。发生重大事件时，及时向委托人和有关监管部门报告；定期向有关监管部门提交开展企业年金基金受托管理业务情况的报告；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（6）按照国家规定保存与企业年金基金管理有关的记录自合同终止之日起至少15年；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（7）国家规定和合同约定的其他职责。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四、提交文件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1、提交文件截止时间</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:2025年9月25日17点00分</w:t>
      </w:r>
      <w:r>
        <w:rPr>
          <w:rFonts w:hint="eastAsia" w:ascii="仿宋" w:hAnsi="仿宋" w:eastAsia="仿宋" w:cs="仿宋"/>
          <w:b w:val="0"/>
          <w:bCs/>
          <w:color w:val="000000" w:themeColor="text1"/>
          <w:sz w:val="28"/>
          <w:szCs w:val="28"/>
          <w:lang w:val="en-US" w:eastAsia="zh-CN"/>
          <w14:textFill>
            <w14:solidFill>
              <w14:schemeClr w14:val="tx1"/>
            </w14:solidFill>
          </w14:textFill>
        </w:rPr>
        <w:t>(北京时间)，逾期不予受理。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2、联系地址:海口市美兰区三江镇三江农场场部（海口市三江农场发展控股有限公司2楼人力资源部），联系人:凌女士，联系电话:13519819377/65774607。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五、开标时间及要求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具体开标时间另行通知，要求述标。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评分标准：评标小组对参选人进行综合评审，最终确定各参选人评选分数。</w:t>
      </w:r>
    </w:p>
    <w:p>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1"/>
        </w:numPr>
        <w:spacing w:line="360" w:lineRule="auto"/>
        <w:ind w:left="0" w:leftChars="0" w:firstLine="0" w:firstLineChars="0"/>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3" w:name="_Toc455781330"/>
      <w:r>
        <w:rPr>
          <w:rFonts w:hint="eastAsia" w:ascii="仿宋" w:hAnsi="仿宋" w:eastAsia="仿宋" w:cs="仿宋"/>
          <w:b/>
          <w:color w:val="000000" w:themeColor="text1"/>
          <w:sz w:val="32"/>
          <w:szCs w:val="32"/>
          <w:highlight w:val="none"/>
          <w14:textFill>
            <w14:solidFill>
              <w14:schemeClr w14:val="tx1"/>
            </w14:solidFill>
          </w14:textFill>
        </w:rPr>
        <w:t>投标文件要求</w:t>
      </w:r>
      <w:bookmarkEnd w:id="3"/>
    </w:p>
    <w:p>
      <w:pPr>
        <w:bidi w:val="0"/>
        <w:rPr>
          <w:rFonts w:hint="eastAsia"/>
        </w:rPr>
      </w:pPr>
    </w:p>
    <w:p>
      <w:pPr>
        <w:spacing w:line="24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一、投标文件构成</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1、投标函（格式见附件）；</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2、法定代表人授权书（格式见附件）；</w:t>
      </w:r>
    </w:p>
    <w:p>
      <w:pPr>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、投标人资质材料：企业法人营业执照复印件、企业年金基金管理资格证书复印件（以上材料均需加盖公章）；</w:t>
      </w:r>
      <w:bookmarkStart w:id="4" w:name="_Toc20699"/>
      <w:bookmarkStart w:id="5" w:name="_Toc19522"/>
      <w:bookmarkStart w:id="6" w:name="_Toc5429"/>
    </w:p>
    <w:p>
      <w:pPr>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4、承诺书</w:t>
      </w:r>
      <w:bookmarkEnd w:id="4"/>
      <w:bookmarkEnd w:id="5"/>
      <w:bookmarkEnd w:id="6"/>
      <w:r>
        <w:rPr>
          <w:rFonts w:hint="eastAsia" w:ascii="仿宋" w:hAnsi="仿宋" w:eastAsia="仿宋" w:cs="仿宋"/>
          <w:color w:val="000000" w:themeColor="text1"/>
          <w:sz w:val="28"/>
          <w:szCs w:val="28"/>
          <w14:textFill>
            <w14:solidFill>
              <w14:schemeClr w14:val="tx1"/>
            </w14:solidFill>
          </w14:textFill>
        </w:rPr>
        <w:t>（格式见附件）</w:t>
      </w:r>
      <w:r>
        <w:rPr>
          <w:rFonts w:hint="eastAsia" w:ascii="仿宋" w:hAnsi="仿宋" w:eastAsia="仿宋" w:cs="仿宋"/>
          <w:color w:val="000000" w:themeColor="text1"/>
          <w:sz w:val="28"/>
          <w:szCs w:val="28"/>
          <w:lang w:val="en-US" w:eastAsia="zh-CN"/>
          <w14:textFill>
            <w14:solidFill>
              <w14:schemeClr w14:val="tx1"/>
            </w14:solidFill>
          </w14:textFill>
        </w:rPr>
        <w:t>；</w:t>
      </w:r>
    </w:p>
    <w:p>
      <w:pPr>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标书正文</w:t>
      </w:r>
      <w:r>
        <w:rPr>
          <w:rFonts w:hint="eastAsia" w:ascii="仿宋" w:hAnsi="仿宋" w:eastAsia="仿宋" w:cs="仿宋"/>
          <w:color w:val="000000" w:themeColor="text1"/>
          <w:sz w:val="28"/>
          <w:szCs w:val="28"/>
          <w:lang w:eastAsia="zh-CN"/>
          <w14:textFill>
            <w14:solidFill>
              <w14:schemeClr w14:val="tx1"/>
            </w14:solidFill>
          </w14:textFill>
        </w:rPr>
        <w:t>（按照评分表编制）</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、投标人认为必要的其他材料。</w:t>
      </w: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二、投标书格式要求</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1、投标文件应使用简体中文，并以人民币</w:t>
      </w:r>
      <w:r>
        <w:rPr>
          <w:rFonts w:hint="eastAsia" w:ascii="仿宋" w:hAnsi="仿宋" w:eastAsia="仿宋" w:cs="仿宋"/>
          <w:color w:val="000000" w:themeColor="text1"/>
          <w:sz w:val="28"/>
          <w:szCs w:val="28"/>
          <w:lang w:val="en-US" w:eastAsia="zh-CN"/>
          <w14:textFill>
            <w14:solidFill>
              <w14:schemeClr w14:val="tx1"/>
            </w14:solidFill>
          </w14:textFill>
        </w:rPr>
        <w:t>或费率</w:t>
      </w:r>
      <w:r>
        <w:rPr>
          <w:rFonts w:hint="eastAsia" w:ascii="仿宋" w:hAnsi="仿宋" w:eastAsia="仿宋" w:cs="仿宋"/>
          <w:color w:val="000000" w:themeColor="text1"/>
          <w:sz w:val="28"/>
          <w:szCs w:val="28"/>
          <w14:textFill>
            <w14:solidFill>
              <w14:schemeClr w14:val="tx1"/>
            </w14:solidFill>
          </w14:textFill>
        </w:rPr>
        <w:t>报价；</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2、投标文件采用A4纸编制；</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3、投标文件的内容应抓住重点、思路清晰，具备条理、同时文件意思表达必须清晰、对于招标问题必须直接正面回应；</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4、投标文件需要法定代表人或其授权代表签字并加盖公章和骑缝章；</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除投标人对错漏之处做必要修改或补充外，所递交文件中不得有随意的行间插字、涂改或增删。如确有实质问题的错漏之处需手工修改或补充，应由投标人的法定代表人或其授权人在修改或补充之处签字并加盖公章</w:t>
      </w:r>
      <w:r>
        <w:rPr>
          <w:rFonts w:hint="eastAsia" w:ascii="仿宋" w:hAnsi="仿宋" w:eastAsia="仿宋" w:cs="仿宋"/>
          <w:color w:val="000000" w:themeColor="text1"/>
          <w:sz w:val="28"/>
          <w:szCs w:val="28"/>
          <w:lang w:eastAsia="zh-CN"/>
          <w14:textFill>
            <w14:solidFill>
              <w14:schemeClr w14:val="tx1"/>
            </w14:solidFill>
          </w14:textFill>
        </w:rPr>
        <w:t>。</w:t>
      </w:r>
      <w:bookmarkStart w:id="7" w:name="_Toc455781331"/>
    </w:p>
    <w:p>
      <w:pPr>
        <w:spacing w:line="360" w:lineRule="auto"/>
        <w:ind w:firstLine="420"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lang w:val="en-US" w:eastAsia="zh-CN"/>
        </w:rPr>
        <w:t xml:space="preserve">                                                                                     </w:t>
      </w:r>
    </w:p>
    <w:p>
      <w:pPr>
        <w:spacing w:line="360" w:lineRule="auto"/>
        <w:jc w:val="center"/>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章 投标书内容</w:t>
      </w:r>
      <w:bookmarkEnd w:id="7"/>
    </w:p>
    <w:p>
      <w:pPr>
        <w:numPr>
          <w:ilvl w:val="0"/>
          <w:numId w:val="2"/>
        </w:numPr>
        <w:spacing w:line="360" w:lineRule="auto"/>
        <w:ind w:left="562" w:leftChars="0" w:firstLine="0" w:firstLineChars="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技术标标书内容</w:t>
      </w:r>
    </w:p>
    <w:p>
      <w:pPr>
        <w:numPr>
          <w:ilvl w:val="0"/>
          <w:numId w:val="0"/>
        </w:numPr>
        <w:spacing w:line="360" w:lineRule="auto"/>
        <w:ind w:left="562" w:leftChars="0"/>
        <w:rPr>
          <w:rFonts w:hint="eastAsia" w:ascii="仿宋" w:hAnsi="仿宋" w:eastAsia="仿宋" w:cs="仿宋"/>
          <w:b/>
          <w:color w:val="000000" w:themeColor="text1"/>
          <w:sz w:val="28"/>
          <w:szCs w:val="28"/>
          <w:highlight w:val="yellow"/>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投标机构须</w:t>
      </w:r>
      <w:r>
        <w:rPr>
          <w:rFonts w:hint="eastAsia" w:ascii="仿宋" w:hAnsi="仿宋" w:eastAsia="仿宋" w:cs="仿宋"/>
          <w:color w:val="000000" w:themeColor="text1"/>
          <w:sz w:val="28"/>
          <w:szCs w:val="28"/>
          <w:highlight w:val="none"/>
          <w:lang w:eastAsia="zh-CN"/>
          <w14:textFill>
            <w14:solidFill>
              <w14:schemeClr w14:val="tx1"/>
            </w14:solidFill>
          </w14:textFill>
        </w:rPr>
        <w:t>根据评分表一一应答、</w:t>
      </w:r>
      <w:r>
        <w:rPr>
          <w:rFonts w:hint="eastAsia" w:ascii="仿宋" w:hAnsi="仿宋" w:eastAsia="仿宋" w:cs="仿宋"/>
          <w:color w:val="000000" w:themeColor="text1"/>
          <w:sz w:val="28"/>
          <w:szCs w:val="28"/>
          <w:highlight w:val="none"/>
          <w14:textFill>
            <w14:solidFill>
              <w14:schemeClr w14:val="tx1"/>
            </w14:solidFill>
          </w14:textFill>
        </w:rPr>
        <w:t>进行阐述，具体如下：</w:t>
      </w:r>
    </w:p>
    <w:tbl>
      <w:tblPr>
        <w:tblStyle w:val="17"/>
        <w:tblpPr w:leftFromText="180" w:rightFromText="180" w:vertAnchor="text" w:horzAnchor="page" w:tblpXSpec="center" w:tblpY="617"/>
        <w:tblOverlap w:val="never"/>
        <w:tblW w:w="9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730"/>
        <w:gridCol w:w="1220"/>
        <w:gridCol w:w="500"/>
        <w:gridCol w:w="5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名称</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评分因素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分值</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商务评分标准</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公司综合实力</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全国受托规模</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1.评分指标：以人社部公开披露2024年末受托管理总资产数据为依据。</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2.计分规则：受托管理的企业年金总资产在全部法人受托机构中</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5分--受托管理规模在2000亿以上；</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4分--受托管理规模在1500-2000亿之间；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3分--受托管理规模在1000-1500亿之间；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2分--受托管理规模在500—1000亿之间；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1分—受托管理规模在500亿以下。</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 xml:space="preserve">注：投标人需提供人社部门公布的2024年度企业年金基金数据摘要相关截图，并清晰标记。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企业盈利能力</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评分指标：以2022年-2024年财务审计报告的本公司利润表为准。</w:t>
            </w:r>
          </w:p>
          <w:p>
            <w:pPr>
              <w:keepNext w:val="0"/>
              <w:keepLines w:val="0"/>
              <w:widowControl/>
              <w:numPr>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2.计分规则：近3年净利润盈利得5分，出现一次净利润亏损扣2分，扣完为止。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受托经验</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1.评分指标：取得受托人资格年限。</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投标人获取年金受托管理资格满十五年（含），得5分；</w:t>
            </w:r>
            <w:r>
              <w:rPr>
                <w:rFonts w:hint="eastAsia" w:ascii="仿宋_GB2312" w:hAnsi="宋体" w:eastAsia="仿宋_GB2312" w:cs="仿宋_GB2312"/>
                <w:i w:val="0"/>
                <w:iCs w:val="0"/>
                <w:color w:val="auto"/>
                <w:kern w:val="0"/>
                <w:sz w:val="22"/>
                <w:szCs w:val="22"/>
                <w:u w:val="none"/>
                <w:lang w:val="en-US" w:eastAsia="zh-CN" w:bidi="ar"/>
              </w:rPr>
              <w:br w:type="textWrapping"/>
            </w:r>
            <w:r>
              <w:rPr>
                <w:rStyle w:val="36"/>
                <w:rFonts w:hAnsi="宋体"/>
                <w:color w:val="auto"/>
                <w:lang w:val="en-US" w:eastAsia="zh-CN" w:bidi="ar"/>
              </w:rPr>
              <w:t>投标人获取年金受托管理资格满十年（含），得3分；</w:t>
            </w:r>
            <w:r>
              <w:rPr>
                <w:rStyle w:val="36"/>
                <w:rFonts w:hAnsi="宋体"/>
                <w:color w:val="auto"/>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投标人获取年金受托管理资格不满十年，得2分。</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注：投标人需提供年金受托管理资格证书或批文复印件并加盖投标人公章。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合规经营</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1.评分指标：根据投标人</w:t>
            </w:r>
            <w:r>
              <w:rPr>
                <w:rStyle w:val="36"/>
                <w:rFonts w:hAnsi="宋体"/>
                <w:color w:val="auto"/>
                <w:lang w:val="en-US" w:eastAsia="zh-CN" w:bidi="ar"/>
              </w:rPr>
              <w:t>近三年</w:t>
            </w:r>
            <w:r>
              <w:rPr>
                <w:rFonts w:hint="eastAsia" w:ascii="仿宋_GB2312" w:hAnsi="宋体" w:eastAsia="仿宋_GB2312" w:cs="仿宋_GB2312"/>
                <w:i w:val="0"/>
                <w:iCs w:val="0"/>
                <w:color w:val="auto"/>
                <w:kern w:val="0"/>
                <w:sz w:val="22"/>
                <w:szCs w:val="22"/>
                <w:u w:val="none"/>
                <w:lang w:val="en-US" w:eastAsia="zh-CN" w:bidi="ar"/>
              </w:rPr>
              <w:t>企业年金基金管理机构各项资格（含受托机构资格、账务管理机构资格、托管机构资格、投资管理机构资格）未受到过监管部门或执法部门的处罚或者暂停开展年金相关新业务等情况，得5分；如有收到处罚或者暂停开展年金相关新业务等情况，出现一次扣2分。</w:t>
            </w:r>
            <w:r>
              <w:rPr>
                <w:rStyle w:val="37"/>
                <w:rFonts w:hAnsi="宋体"/>
                <w:color w:val="auto"/>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2.证明材料：投标人提供2022年至今，因企业年金</w:t>
            </w:r>
            <w:r>
              <w:rPr>
                <w:rStyle w:val="37"/>
                <w:rFonts w:hAnsi="宋体"/>
                <w:color w:val="auto"/>
                <w:lang w:val="en-US" w:eastAsia="zh-CN" w:bidi="ar"/>
              </w:rPr>
              <w:t>受托、投管、托管、账管</w:t>
            </w:r>
            <w:r>
              <w:rPr>
                <w:rFonts w:hint="eastAsia" w:ascii="仿宋_GB2312" w:hAnsi="宋体" w:eastAsia="仿宋_GB2312" w:cs="仿宋_GB2312"/>
                <w:i w:val="0"/>
                <w:iCs w:val="0"/>
                <w:color w:val="auto"/>
                <w:kern w:val="0"/>
                <w:sz w:val="22"/>
                <w:szCs w:val="22"/>
                <w:u w:val="none"/>
                <w:lang w:val="en-US" w:eastAsia="zh-CN" w:bidi="ar"/>
              </w:rPr>
              <w:t>业务，受到监管部门或政府有关部门的处罚或者暂停开展年金相关新业务等情况，无上述情况则提供</w:t>
            </w:r>
            <w:r>
              <w:rPr>
                <w:rStyle w:val="37"/>
                <w:rFonts w:hAnsi="宋体"/>
                <w:color w:val="auto"/>
                <w:lang w:val="en-US" w:eastAsia="zh-CN" w:bidi="ar"/>
              </w:rPr>
              <w:t>承诺书</w:t>
            </w:r>
            <w:r>
              <w:rPr>
                <w:rFonts w:hint="eastAsia" w:ascii="仿宋_GB2312" w:hAnsi="宋体" w:eastAsia="仿宋_GB2312" w:cs="仿宋_GB2312"/>
                <w:i w:val="0"/>
                <w:iCs w:val="0"/>
                <w:color w:val="auto"/>
                <w:kern w:val="0"/>
                <w:sz w:val="22"/>
                <w:szCs w:val="22"/>
                <w:u w:val="none"/>
                <w:lang w:val="en-US" w:eastAsia="zh-CN" w:bidi="ar"/>
              </w:rPr>
              <w:t>并加盖公章，未提供不得分。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jc w:val="center"/>
        </w:trPr>
        <w:tc>
          <w:tcPr>
            <w:tcW w:w="8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技术评分标准</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受托管理专业能力</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企业年金受托服务企业数</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1.评分指标：以人社部《企业年金基金业务数据摘要2024年》为准。</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2.计分规则：</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5分--受托服务企业数在10000家以上；</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3分--受托服务企业数在5000-10000家之间；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2分--受托服务企业数在1000-5000家之间;</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1分--受托服务企业数在1000家以下。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2022-2024年应标签约的集合计划累计综合收益率</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评分指标：集合计划综合收益率数据以人社部公布的2022、2023、2024年度《企业年金基金业务数据摘要》中本次应标签约的集合计划的综合收益率为准，累计综合收益率为历年综合收益率的和。</w:t>
            </w:r>
          </w:p>
          <w:p>
            <w:pPr>
              <w:keepNext w:val="0"/>
              <w:keepLines w:val="0"/>
              <w:widowControl/>
              <w:numPr>
                <w:ilvl w:val="0"/>
                <w:numId w:val="4"/>
              </w:numPr>
              <w:suppressLineNumbers w:val="0"/>
              <w:ind w:left="0" w:leftChars="0" w:firstLine="0" w:firstLineChars="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计分规则：</w:t>
            </w:r>
          </w:p>
          <w:p>
            <w:pPr>
              <w:keepNext w:val="0"/>
              <w:keepLines w:val="0"/>
              <w:widowControl/>
              <w:numPr>
                <w:ilvl w:val="0"/>
                <w:numId w:val="0"/>
              </w:numPr>
              <w:suppressLineNumbers w:val="0"/>
              <w:ind w:leftChars="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5分--在投标机构中排名第1；</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4分--在投标机构中排名第2；</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3分--在投标机构中排名第3；</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2分--在投标机构中排名第4；</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1分--在投标机构中排名第5及以后。</w:t>
            </w:r>
          </w:p>
          <w:p>
            <w:pPr>
              <w:keepNext w:val="0"/>
              <w:keepLines w:val="0"/>
              <w:widowControl/>
              <w:numPr>
                <w:ilvl w:val="0"/>
                <w:numId w:val="0"/>
              </w:numPr>
              <w:suppressLineNumbers w:val="0"/>
              <w:ind w:leftChars="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没有投资业绩的投标机构按最低分计算。</w:t>
            </w:r>
          </w:p>
          <w:p>
            <w:pPr>
              <w:keepNext w:val="0"/>
              <w:keepLines w:val="0"/>
              <w:widowControl/>
              <w:numPr>
                <w:ilvl w:val="0"/>
                <w:numId w:val="4"/>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计算公式：r=r2022+r2023+r2024，r20XX为20XX年当只集合计划的当年综合收益率。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受托集合计划综合平均收益率</w:t>
            </w:r>
          </w:p>
          <w:p>
            <w:pPr>
              <w:keepNext w:val="0"/>
              <w:keepLines w:val="0"/>
              <w:widowControl/>
              <w:suppressLineNumbers w:val="0"/>
              <w:jc w:val="both"/>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（近3年）</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评分指标：以2022年-2024年人社部官网披露的《企业年金基金业务数据摘要》数据为准，平均综合收益率为历年综合收益率的算术平均，当年综合收益率为投标人管理的所有集合计划的期末规模加权平均收益率（保留小数点后两位）。</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10分--在投标机构中排名第1；</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8分--在投标机构中排名第2；</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6分--在投标机构中排名第3；</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4分--在投标机构中排名第4；</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2分--在投标机构中排名第5及以后。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 xml:space="preserve">没有投资业绩的投标机构按最低分计算。                                                                                               </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计算公式：</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R20XX=(r1*s1+r2*s2+.....+rn*sn)/(s1+s2+....+sn,其中R20XX为20XX年的集合计划规模加权平均收益率，r和s分别为20XX年某只集合计划的当年综合收益率和资产金额，R=（R2022+R2023+R2024)/3。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年金计划收益稳定性（近10年）</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评分指标：根据近10年（2015年-2024年）人社部《全国企业年金基金业务数据摘要》中披露的集合计划加权收益率（规模加权）超越历年市场水平的比较。</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2.计分规则：按照超越市场平均次数在投标机构中排名，第一的得5分，每低一个排名扣1分，部分年份数据缺失的，按市场平均计算。</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计算公式如下：</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①投标人年度规模加权综合收益率=∑（各集合计划资产规模*该集合计划的当年综合收益率）/∑受托管理的全部集合计划资产规模</w:t>
            </w:r>
          </w:p>
          <w:p>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 xml:space="preserve">注：投标人在投标文件中提供数据截图（须体现上述数据，以人社部门公布的各年度基金数据摘要为准）。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受托集合计划</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历年综合收益率出现负收益情况（近10年）</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评分指标：根据2015-2024年人社部官网披露的《企业年金基金业务数据摘要》数据为准，平均综合收益率为历年综合收益率的算术平均，当年综合收益率为投标人管理的所有集合计划的期末规模加权平均收益率；</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2.计分规则：近10年综合收益率均未出现负收益得5分；出现1次扣1分。</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计算公式如下：R20XX=(r1*s1+r2*s2+.....+rn*sn)/(s1+s2+....+sn,其中R20XX为20XX年的集合计划规模加权平均收益率，r和s分别为20XX年某只集合计划的当年综合收益率和资产金额。</w:t>
            </w:r>
          </w:p>
          <w:p>
            <w:pPr>
              <w:keepNext w:val="0"/>
              <w:keepLines w:val="0"/>
              <w:widowControl/>
              <w:numPr>
                <w:numId w:val="0"/>
              </w:numPr>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 xml:space="preserve">注：投标人在投标文件中提供数据截图（须体现上述数据，以人社部门公布的各年度基金数据摘要为准）。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战略资产配置能力</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1）具备可完善的战略资产配置策略的制定流程；（2）在战略资产配置策略制定过程中有效把握长期和短期收益目标；（3）根据资本市场和监管要求的变化，具有完善的、科学的战略资产配置方案调整举措并通过案例说明战略资产配置执行跟踪、调整的情况及工作效果。</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2.计分规则：满足以上3项，5分；满足以上2项，3分；满足以上1项，1分；其他情况不得分。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对账管人、托管人和投管人的管理监督与绩效评估</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1）熟悉市场上大多数账管人、托管人及投管人资料数据，合作经验丰富；（2）具备完善科学的选择、更换、监督和评价账管人、托管人、投资管理人的指标体系；（3）有科学的指数化工具并应用于投资、监督和评价。</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 xml:space="preserve">2.计分规则：满足以上3项得5分；满足以上2项得3分；其他情况不得分。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投资监督能力</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是否构建完善的投资监督体系，（1）投资监督信息事项的拟定、监控和跟踪体系；投资组合的下跌预警管控体系；（2）安全垫管理机制；对产品和市场的定期分析和报告机制；（3）止损机制和策略；对信用风险研判的内部评级体系。</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 xml:space="preserve">2.计分规则：满足以上3项得5分；满足以上2项得3分；其他情况不得分。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风险控制机制</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1）具有严格的风险管理制度，风险管理体系完备、组织清晰；（2）保证运营高效,建立了事前、事中和事后的运营风控制度和流程，能明确列出相关风险点及其监督防范方法；（3）具有完善的止盈止损制度，有效降低投资风险；（4）具有健全的风控部门设置、专业的风控及稽核人员。</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2.计分规则：满足以上四项得5分；满足以上3项得3分；其他情况得1分。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受托服务能力</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受托管理信息系统</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评分指标：（1）投标人拥有成熟的受托管理系统，和各管理人日常运营系统对接顺畅，业务处理效率高；</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（2）对外可为委托人提供便捷、易操作的企业端年金自助业务办理服务；（3）支持为员工提供便捷的手机端个人年金自助服务，包含查询、自助办理待遇领取，成员转移。</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2.计分规则：综合评分。全部满足得5分，部分满足得3分，一般得2分。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专属服务方案</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1.评分指标:根据投标人提供全流程的年金管理服务，如政策咨询、年金培训，职代会宣导、方案报备、合同以及四方流程签署、账户开立、日常运营、领取税务建议与计算等服务。</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2.计分规则：综合评分。很好得5分，较好得4分，一般得3分。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7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专属服务团队</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 xml:space="preserve">1.评分指标：省内机构设立情况及专属服务团队成员配备情况，是否能够提供定期上门服务，是否具有明确的服务标准。 </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2.计分规则：综合评分。很好得5分，较好得4分，一般得3分。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增值服务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仿宋_GB2312" w:hAnsi="宋体" w:eastAsia="仿宋_GB2312" w:cs="仿宋_GB2312"/>
                <w:i w:val="0"/>
                <w:iCs w:val="0"/>
                <w:color w:val="auto"/>
                <w:kern w:val="0"/>
                <w:sz w:val="22"/>
                <w:szCs w:val="22"/>
                <w:u w:val="none"/>
                <w:lang w:val="en-US" w:eastAsia="zh-CN" w:bidi="ar"/>
              </w:rPr>
              <w:t>1.评分指标：增值服务。服务项目丰富，内容详实，可以提供专为客户量身定制的增值服务。                                                          2.计分规则：服务项目丰富，内容详实，可以提供专为客户量身定制的增值服务，得4-5分；服务项目较好，基本可以满足客户的定制化需求，得2-3分；服务项目一般，可以提供较为常规的服务平台及渠道，得1分；无增值服务，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价格评分标准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管理服务费和目标值报价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受托管理费</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1.评分指标：受托合同期内每年受托管理费标准值。</w:t>
            </w:r>
            <w:r>
              <w:rPr>
                <w:rFonts w:hint="eastAsia" w:ascii="仿宋_GB2312" w:hAnsi="宋体" w:eastAsia="仿宋_GB2312" w:cs="仿宋_GB2312"/>
                <w:i w:val="0"/>
                <w:iCs w:val="0"/>
                <w:color w:val="auto"/>
                <w:kern w:val="0"/>
                <w:sz w:val="22"/>
                <w:szCs w:val="22"/>
                <w:u w:val="none"/>
                <w:lang w:val="en-US" w:eastAsia="zh-CN" w:bidi="ar"/>
              </w:rPr>
              <w:br w:type="textWrapping"/>
            </w:r>
            <w:r>
              <w:rPr>
                <w:rFonts w:hint="eastAsia" w:ascii="仿宋_GB2312" w:hAnsi="宋体" w:eastAsia="仿宋_GB2312" w:cs="仿宋_GB2312"/>
                <w:i w:val="0"/>
                <w:iCs w:val="0"/>
                <w:color w:val="auto"/>
                <w:kern w:val="0"/>
                <w:sz w:val="22"/>
                <w:szCs w:val="22"/>
                <w:u w:val="none"/>
                <w:lang w:val="en-US" w:eastAsia="zh-CN" w:bidi="ar"/>
              </w:rPr>
              <w:t>2.计分规则：投标报价等于或低于评标基准价的得10分，其他报价按照下列公式计算得分： 报价得分=10-（投标报价-评标基准价）/评标基准价的公式计算得分。不符合《企业年金基金管理机构基本服务和收费标准行业自律公约》和人社相关要求的，为无效报价，得0分。</w:t>
            </w:r>
          </w:p>
        </w:tc>
      </w:tr>
    </w:tbl>
    <w:p>
      <w:pPr>
        <w:spacing w:line="360" w:lineRule="auto"/>
        <w:ind w:firstLine="560" w:firstLineChars="200"/>
        <w:rPr>
          <w:rFonts w:hint="eastAsia" w:ascii="仿宋" w:hAnsi="仿宋" w:eastAsia="仿宋" w:cs="仿宋"/>
          <w:color w:val="000000" w:themeColor="text1"/>
          <w:sz w:val="28"/>
          <w:szCs w:val="28"/>
          <w:highlight w:val="yellow"/>
          <w14:textFill>
            <w14:solidFill>
              <w14:schemeClr w14:val="tx1"/>
            </w14:solidFill>
          </w14:textFill>
        </w:rPr>
      </w:pPr>
    </w:p>
    <w:p>
      <w:pPr>
        <w:spacing w:line="360" w:lineRule="auto"/>
        <w:rPr>
          <w:rFonts w:hint="default"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 xml:space="preserve">   二、</w:t>
      </w:r>
      <w:r>
        <w:rPr>
          <w:rFonts w:hint="eastAsia" w:ascii="仿宋" w:hAnsi="仿宋" w:eastAsia="仿宋" w:cs="仿宋"/>
          <w:b/>
          <w:bCs/>
          <w:color w:val="000000" w:themeColor="text1"/>
          <w:sz w:val="28"/>
          <w:szCs w:val="28"/>
          <w:lang w:val="en-US" w:eastAsia="zh-CN"/>
          <w14:textFill>
            <w14:solidFill>
              <w14:schemeClr w14:val="tx1"/>
            </w14:solidFill>
          </w14:textFill>
        </w:rPr>
        <w:t>报价函格式</w:t>
      </w:r>
    </w:p>
    <w:p>
      <w:pPr>
        <w:spacing w:line="360" w:lineRule="auto"/>
        <w:ind w:right="42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管理费报价函</w:t>
      </w:r>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项目名称</w:t>
            </w:r>
          </w:p>
        </w:tc>
        <w:tc>
          <w:tcPr>
            <w:tcW w:w="6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海口市三江农场发展控股有限公司企业年金计划受托管理机构服务采购项目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投标机构名称</w:t>
            </w:r>
          </w:p>
        </w:tc>
        <w:tc>
          <w:tcPr>
            <w:tcW w:w="6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受托管理费率</w:t>
            </w:r>
          </w:p>
        </w:tc>
        <w:tc>
          <w:tcPr>
            <w:tcW w:w="6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pPr>
        <w:numPr>
          <w:ilvl w:val="0"/>
          <w:numId w:val="0"/>
        </w:num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管理费报价说明：</w:t>
      </w:r>
      <w:r>
        <w:rPr>
          <w:rFonts w:hint="eastAsia" w:ascii="仿宋" w:hAnsi="仿宋" w:eastAsia="仿宋" w:cs="仿宋"/>
          <w:color w:val="000000" w:themeColor="text1"/>
          <w:sz w:val="24"/>
          <w:szCs w:val="24"/>
          <w14:textFill>
            <w14:solidFill>
              <w14:schemeClr w14:val="tx1"/>
            </w14:solidFill>
          </w14:textFill>
        </w:rPr>
        <w:t>管理费率应是具体的数额或比例，不得是范围值。不可出现“与招标人另行商定”或类似字样。不得以折扣、折让、管理费返还或通过设立受托计划直投组合等形式变相降低报价标准</w:t>
      </w:r>
      <w:r>
        <w:rPr>
          <w:rFonts w:hint="eastAsia" w:ascii="仿宋" w:hAnsi="仿宋" w:eastAsia="仿宋" w:cs="仿宋"/>
          <w:color w:val="000000" w:themeColor="text1"/>
          <w:sz w:val="24"/>
          <w:szCs w:val="24"/>
          <w:lang w:eastAsia="zh-CN"/>
          <w14:textFill>
            <w14:solidFill>
              <w14:schemeClr w14:val="tx1"/>
            </w14:solidFill>
          </w14:textFill>
        </w:rPr>
        <w:t>。</w:t>
      </w:r>
    </w:p>
    <w:p>
      <w:pPr>
        <w:pStyle w:val="2"/>
        <w:rPr>
          <w:rFonts w:hint="eastAsia"/>
          <w:lang w:val="en-US" w:eastAsia="zh-CN"/>
        </w:rPr>
      </w:pPr>
    </w:p>
    <w:p>
      <w:pPr>
        <w:numPr>
          <w:ilvl w:val="0"/>
          <w:numId w:val="0"/>
        </w:numPr>
        <w:spacing w:line="360" w:lineRule="auto"/>
        <w:ind w:left="562" w:leftChars="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投标人认为有必要提供的其他资料</w:t>
      </w:r>
    </w:p>
    <w:p>
      <w:pPr>
        <w:pStyle w:val="2"/>
        <w:numPr>
          <w:ilvl w:val="0"/>
          <w:numId w:val="0"/>
        </w:numPr>
        <w:ind w:left="562" w:leftChars="0"/>
        <w:rPr>
          <w:rFonts w:hint="eastAsia"/>
        </w:rPr>
      </w:pPr>
    </w:p>
    <w:p>
      <w:pPr>
        <w:pStyle w:val="2"/>
        <w:numPr>
          <w:ilvl w:val="0"/>
          <w:numId w:val="0"/>
        </w:numPr>
        <w:ind w:left="562" w:leftChars="0"/>
        <w:rPr>
          <w:rFonts w:hint="eastAsia"/>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14:textFill>
            <w14:solidFill>
              <w14:schemeClr w14:val="tx1"/>
            </w14:solidFill>
          </w14:textFill>
        </w:rPr>
      </w:pPr>
      <w:bookmarkStart w:id="8" w:name="_Toc455781332"/>
      <w:r>
        <w:rPr>
          <w:rFonts w:hint="eastAsia" w:ascii="仿宋" w:hAnsi="仿宋" w:eastAsia="仿宋" w:cs="仿宋"/>
          <w:b/>
          <w:color w:val="000000" w:themeColor="text1"/>
          <w:sz w:val="32"/>
          <w:szCs w:val="32"/>
          <w:lang w:val="en-US" w:eastAsia="zh-CN"/>
          <w14:textFill>
            <w14:solidFill>
              <w14:schemeClr w14:val="tx1"/>
            </w14:solidFill>
          </w14:textFill>
        </w:rPr>
        <w:t xml:space="preserve">第四章 </w:t>
      </w:r>
      <w:r>
        <w:rPr>
          <w:rFonts w:hint="eastAsia" w:ascii="仿宋" w:hAnsi="仿宋" w:eastAsia="仿宋" w:cs="仿宋"/>
          <w:b/>
          <w:color w:val="000000" w:themeColor="text1"/>
          <w:sz w:val="32"/>
          <w:szCs w:val="32"/>
          <w14:textFill>
            <w14:solidFill>
              <w14:schemeClr w14:val="tx1"/>
            </w14:solidFill>
          </w14:textFill>
        </w:rPr>
        <w:t>投标文件表格样式和附表</w:t>
      </w:r>
      <w:bookmarkEnd w:id="8"/>
    </w:p>
    <w:p>
      <w:pPr>
        <w:numPr>
          <w:ilvl w:val="0"/>
          <w:numId w:val="0"/>
        </w:numPr>
        <w:spacing w:line="360" w:lineRule="auto"/>
        <w:ind w:leftChars="0"/>
        <w:jc w:val="both"/>
        <w:outlineLvl w:val="0"/>
        <w:rPr>
          <w:rFonts w:hint="eastAsia" w:ascii="仿宋" w:hAnsi="仿宋" w:eastAsia="仿宋" w:cs="仿宋"/>
          <w:b/>
          <w:color w:val="000000" w:themeColor="text1"/>
          <w:sz w:val="32"/>
          <w:szCs w:val="32"/>
          <w14:textFill>
            <w14:solidFill>
              <w14:schemeClr w14:val="tx1"/>
            </w14:solidFill>
          </w14:textFill>
        </w:rPr>
      </w:pPr>
    </w:p>
    <w:p>
      <w:pPr>
        <w:keepNext w:val="0"/>
        <w:keepLines w:val="0"/>
        <w:pageBreakBefore w:val="0"/>
        <w:widowControl w:val="0"/>
        <w:numPr>
          <w:ilvl w:val="1"/>
          <w:numId w:val="9"/>
        </w:numPr>
        <w:tabs>
          <w:tab w:val="left" w:pos="360"/>
        </w:tabs>
        <w:kinsoku/>
        <w:wordWrap/>
        <w:overflowPunct/>
        <w:topLinePunct w:val="0"/>
        <w:autoSpaceDE/>
        <w:autoSpaceDN/>
        <w:bidi w:val="0"/>
        <w:adjustRightInd/>
        <w:snapToGrid w:val="0"/>
        <w:spacing w:afterLines="50" w:line="360" w:lineRule="auto"/>
        <w:ind w:left="540" w:hanging="540"/>
        <w:textAlignment w:val="auto"/>
        <w:outlineLvl w:val="9"/>
        <w:rPr>
          <w:rFonts w:hint="eastAsia" w:ascii="仿宋" w:hAnsi="仿宋" w:eastAsia="仿宋" w:cs="仿宋"/>
          <w:b/>
          <w:bCs/>
          <w:color w:val="000000" w:themeColor="text1"/>
          <w:sz w:val="28"/>
          <w:szCs w:val="28"/>
          <w14:textFill>
            <w14:solidFill>
              <w14:schemeClr w14:val="tx1"/>
            </w14:solidFill>
          </w14:textFill>
        </w:rPr>
      </w:pPr>
      <w:bookmarkStart w:id="9" w:name="_Toc304360259"/>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：投标函</w:t>
      </w:r>
      <w:bookmarkEnd w:id="9"/>
    </w:p>
    <w:p>
      <w:pPr>
        <w:numPr>
          <w:ilvl w:val="0"/>
          <w:numId w:val="0"/>
        </w:numPr>
        <w:spacing w:line="360" w:lineRule="auto"/>
        <w:ind w:firstLine="3640" w:firstLineChars="1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投标函</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海口市三江农场发展控股有限</w:t>
      </w:r>
      <w:r>
        <w:rPr>
          <w:rFonts w:hint="eastAsia" w:ascii="仿宋" w:hAnsi="仿宋" w:eastAsia="仿宋" w:cs="仿宋"/>
          <w:color w:val="000000" w:themeColor="text1"/>
          <w:sz w:val="28"/>
          <w:szCs w:val="28"/>
          <w:lang w:eastAsia="zh-CN"/>
          <w14:textFill>
            <w14:solidFill>
              <w14:schemeClr w14:val="tx1"/>
            </w14:solidFill>
          </w14:textFill>
        </w:rPr>
        <w:t>公司</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一、我公司了解了竞标条件、要求以及竞标办法后，我公司决定参加</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管理人招标项目</w:t>
      </w:r>
      <w:r>
        <w:rPr>
          <w:rFonts w:hint="eastAsia" w:ascii="仿宋" w:hAnsi="仿宋" w:eastAsia="仿宋" w:cs="仿宋"/>
          <w:color w:val="000000" w:themeColor="text1"/>
          <w:sz w:val="28"/>
          <w:szCs w:val="28"/>
          <w14:textFill>
            <w14:solidFill>
              <w14:schemeClr w14:val="tx1"/>
            </w14:solidFill>
          </w14:textFill>
        </w:rPr>
        <w:t>的竞标。</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二、我公司遵照贵方</w:t>
      </w:r>
      <w:r>
        <w:rPr>
          <w:rFonts w:hint="eastAsia" w:ascii="仿宋" w:hAnsi="仿宋" w:eastAsia="仿宋" w:cs="仿宋"/>
          <w:color w:val="000000" w:themeColor="text1"/>
          <w:sz w:val="28"/>
          <w:szCs w:val="28"/>
          <w:lang w:val="en-US" w:eastAsia="zh-CN"/>
          <w14:textFill>
            <w14:solidFill>
              <w14:schemeClr w14:val="tx1"/>
            </w14:solidFill>
          </w14:textFill>
        </w:rPr>
        <w:t>各项</w:t>
      </w:r>
      <w:r>
        <w:rPr>
          <w:rFonts w:hint="eastAsia" w:ascii="仿宋" w:hAnsi="仿宋" w:eastAsia="仿宋" w:cs="仿宋"/>
          <w:color w:val="000000" w:themeColor="text1"/>
          <w:sz w:val="28"/>
          <w:szCs w:val="28"/>
          <w14:textFill>
            <w14:solidFill>
              <w14:schemeClr w14:val="tx1"/>
            </w14:solidFill>
          </w14:textFill>
        </w:rPr>
        <w:t>要求。</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三、我方一旦中标，在签订正式合同文本之前，本投标文件、应贵方要求的补充应答（或澄清说明）、连同贵方的招标文件应成为约束我方的文件。</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四、我公司在投标过程中所了解的与</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管理人招标项目</w:t>
      </w:r>
      <w:r>
        <w:rPr>
          <w:rFonts w:hint="eastAsia" w:ascii="仿宋" w:hAnsi="仿宋" w:eastAsia="仿宋" w:cs="仿宋"/>
          <w:color w:val="000000" w:themeColor="text1"/>
          <w:sz w:val="28"/>
          <w:szCs w:val="28"/>
          <w14:textFill>
            <w14:solidFill>
              <w14:schemeClr w14:val="tx1"/>
            </w14:solidFill>
          </w14:textFill>
        </w:rPr>
        <w:t>相关的任何信息资料，不论是何种载体或以何种方式传递的信息，仅限于本次投标所用，我公司承诺不会将此类信息用于任何与本次投标无关的用途。</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五、我公司郑重承诺向</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提供的所有材料内容真实、准确，没有任何虚假、误导性陈述和记载，没有故意隐瞒与选择企业年金基金受托机构有关的重要事实。如承诺不实，我公司自动放弃参选资格，并赔偿由此给招标人企业年金基金造成的任何损失或费用。</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六、我公司也完全理解，贵方有权选择任何贵方可能收到的投标方案。</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七、我公司向招标人承诺以上条款自签署之日起生效，在参选和担任</w:t>
      </w:r>
      <w:r>
        <w:rPr>
          <w:rFonts w:hint="eastAsia" w:ascii="仿宋" w:hAnsi="仿宋" w:eastAsia="仿宋" w:cs="仿宋"/>
          <w:color w:val="000000" w:themeColor="text1"/>
          <w:sz w:val="28"/>
          <w:szCs w:val="28"/>
          <w:lang w:eastAsia="zh-CN"/>
          <w14:textFill>
            <w14:solidFill>
              <w14:schemeClr w14:val="tx1"/>
            </w14:solidFill>
          </w14:textFill>
        </w:rPr>
        <w:t>XX公司</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w:t>
      </w:r>
      <w:r>
        <w:rPr>
          <w:rFonts w:hint="eastAsia" w:ascii="仿宋" w:hAnsi="仿宋" w:eastAsia="仿宋" w:cs="仿宋"/>
          <w:color w:val="000000" w:themeColor="text1"/>
          <w:sz w:val="28"/>
          <w:szCs w:val="28"/>
          <w14:textFill>
            <w14:solidFill>
              <w14:schemeClr w14:val="tx1"/>
            </w14:solidFill>
          </w14:textFill>
        </w:rPr>
        <w:t>机构期间持续有效。</w:t>
      </w:r>
    </w:p>
    <w:p>
      <w:pPr>
        <w:numPr>
          <w:ilvl w:val="0"/>
          <w:numId w:val="0"/>
        </w:num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（以下无正文）</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（公章）</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授权代表签字：</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w:t>
      </w:r>
      <w:bookmarkStart w:id="10" w:name="_Toc304360260"/>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tabs>
          <w:tab w:val="left" w:pos="360"/>
        </w:tabs>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：法定代表人授权书</w:t>
      </w:r>
      <w:bookmarkEnd w:id="10"/>
    </w:p>
    <w:p>
      <w:pPr>
        <w:pStyle w:val="2"/>
        <w:ind w:left="0" w:leftChars="0" w:firstLine="0" w:firstLineChars="0"/>
        <w:rPr>
          <w:rFonts w:hint="eastAsia"/>
        </w:rPr>
      </w:pPr>
    </w:p>
    <w:p>
      <w:pPr>
        <w:numPr>
          <w:ilvl w:val="0"/>
          <w:numId w:val="0"/>
        </w:numPr>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法定代表人授权书</w:t>
      </w:r>
    </w:p>
    <w:p>
      <w:pPr>
        <w:numPr>
          <w:ilvl w:val="0"/>
          <w:numId w:val="0"/>
        </w:num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海口市三江农场发展控股有限</w:t>
      </w:r>
      <w:r>
        <w:rPr>
          <w:rFonts w:hint="eastAsia" w:ascii="仿宋" w:hAnsi="仿宋" w:eastAsia="仿宋" w:cs="仿宋"/>
          <w:color w:val="000000" w:themeColor="text1"/>
          <w:sz w:val="28"/>
          <w:szCs w:val="28"/>
          <w:lang w:eastAsia="zh-CN"/>
          <w14:textFill>
            <w14:solidFill>
              <w14:schemeClr w14:val="tx1"/>
            </w14:solidFill>
          </w14:textFill>
        </w:rPr>
        <w:t>公司</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本授权书声明： _____________公司是中华人民共和国合法企业，_____________（法定代表人姓名、职务）代表本公司授权_____________ （公司名称）_____________（职务）_____________（姓名）_____________（身份证号）为正式的合法代理人，并授权该代理人在有关_____________项目的工作中，以投标方的名义签署投标书、进行投标、签署合同并处理与此有关的一切事务。</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本授权自_____年_____月_____日起生效,除我公司另行通知取消授权外,有效期180日。被授权人无权转委</w:t>
      </w:r>
      <w:r>
        <w:rPr>
          <w:rFonts w:hint="eastAsia" w:ascii="仿宋" w:hAnsi="仿宋" w:eastAsia="仿宋" w:cs="仿宋"/>
          <w:color w:val="000000" w:themeColor="text1"/>
          <w:sz w:val="28"/>
          <w:szCs w:val="28"/>
          <w:lang w:eastAsia="zh-CN"/>
          <w14:textFill>
            <w14:solidFill>
              <w14:schemeClr w14:val="tx1"/>
            </w14:solidFill>
          </w14:textFill>
        </w:rPr>
        <w:t>托</w:t>
      </w:r>
      <w:r>
        <w:rPr>
          <w:rFonts w:hint="eastAsia" w:ascii="仿宋" w:hAnsi="仿宋" w:eastAsia="仿宋" w:cs="仿宋"/>
          <w:color w:val="000000" w:themeColor="text1"/>
          <w:sz w:val="28"/>
          <w:szCs w:val="28"/>
          <w14:textFill>
            <w14:solidFill>
              <w14:schemeClr w14:val="tx1"/>
            </w14:solidFill>
          </w14:textFill>
        </w:rPr>
        <w:t>，特此声明。</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法定代表人（签章）：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职   务：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被授权人（签章）：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职   务： </w:t>
      </w:r>
    </w:p>
    <w:p>
      <w:pPr>
        <w:numPr>
          <w:ilvl w:val="0"/>
          <w:numId w:val="0"/>
        </w:num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     年   月   日</w:t>
      </w:r>
    </w:p>
    <w:p>
      <w:pPr>
        <w:pStyle w:val="2"/>
        <w:rPr>
          <w:rFonts w:hint="eastAsia" w:ascii="仿宋" w:hAnsi="仿宋" w:eastAsia="仿宋" w:cs="仿宋"/>
          <w:color w:val="000000" w:themeColor="text1"/>
          <w:sz w:val="28"/>
          <w:szCs w:val="28"/>
          <w14:textFill>
            <w14:solidFill>
              <w14:schemeClr w14:val="tx1"/>
            </w14:solidFill>
          </w14:textFill>
        </w:rPr>
      </w:pPr>
    </w:p>
    <w:p>
      <w:pPr>
        <w:pStyle w:val="2"/>
        <w:ind w:left="0" w:leftChars="0" w:firstLine="0" w:firstLineChars="0"/>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附件三：承诺书</w:t>
      </w:r>
    </w:p>
    <w:p>
      <w:pPr>
        <w:numPr>
          <w:ilvl w:val="0"/>
          <w:numId w:val="0"/>
        </w:numPr>
        <w:spacing w:line="360" w:lineRule="auto"/>
        <w:ind w:firstLine="560" w:firstLineChars="20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承诺书</w:t>
      </w:r>
    </w:p>
    <w:p>
      <w:pPr>
        <w:pStyle w:val="2"/>
        <w:rPr>
          <w:rFonts w:hint="default"/>
          <w:lang w:val="en-US" w:eastAsia="zh-CN"/>
        </w:rPr>
      </w:pP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一、我公司承诺在国家企业信用信息公示系统（www.gsxt.gov.cn）上未被列入严重违法失信企业名单（黑名单）信息；未被信用中国（www.creditchina.gov.cn）列入失信被执行人；</w:t>
      </w: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二、中选后负责项目实施期间产生的一切劳动纠纷，不应影响本合同的正常履行；</w:t>
      </w: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三、中选后严格遵守国家关于私隐方面的所有法律法规，绝对保密任何有关委托人的资料。</w:t>
      </w: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p>
    <w:p>
      <w:pPr>
        <w:autoSpaceDE w:val="0"/>
        <w:autoSpaceDN w:val="0"/>
        <w:adjustRightInd w:val="0"/>
        <w:spacing w:line="360" w:lineRule="auto"/>
        <w:ind w:firstLine="560" w:firstLineChars="200"/>
        <w:rPr>
          <w:rFonts w:hint="eastAsia" w:ascii="仿宋" w:hAnsi="仿宋" w:eastAsia="仿宋" w:cs="仿宋"/>
          <w:color w:val="000000" w:themeColor="text1"/>
          <w:kern w:val="2"/>
          <w:sz w:val="28"/>
          <w:szCs w:val="28"/>
          <w:lang w:val="zh-CN"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投标单位</w:t>
      </w:r>
      <w:r>
        <w:rPr>
          <w:rFonts w:hint="eastAsia" w:ascii="仿宋" w:hAnsi="仿宋" w:eastAsia="仿宋" w:cs="仿宋"/>
          <w:color w:val="000000" w:themeColor="text1"/>
          <w:kern w:val="2"/>
          <w:sz w:val="28"/>
          <w:szCs w:val="28"/>
          <w:lang w:val="zh-CN" w:eastAsia="zh-CN" w:bidi="ar-SA"/>
          <w14:textFill>
            <w14:solidFill>
              <w14:schemeClr w14:val="tx1"/>
            </w14:solidFill>
          </w14:textFill>
        </w:rPr>
        <w:t>：                      （盖章）</w:t>
      </w:r>
    </w:p>
    <w:p>
      <w:pPr>
        <w:autoSpaceDE w:val="0"/>
        <w:autoSpaceDN w:val="0"/>
        <w:adjustRightInd w:val="0"/>
        <w:spacing w:line="360" w:lineRule="auto"/>
        <w:ind w:firstLine="560" w:firstLineChars="200"/>
        <w:jc w:val="right"/>
        <w:rPr>
          <w:rFonts w:hint="eastAsia" w:ascii="仿宋" w:hAnsi="仿宋" w:eastAsia="仿宋" w:cs="仿宋"/>
          <w:color w:val="000000" w:themeColor="text1"/>
          <w:kern w:val="2"/>
          <w:sz w:val="28"/>
          <w:szCs w:val="28"/>
          <w:lang w:val="zh-CN" w:eastAsia="zh-CN" w:bidi="ar-SA"/>
          <w14:textFill>
            <w14:solidFill>
              <w14:schemeClr w14:val="tx1"/>
            </w14:solidFill>
          </w14:textFill>
        </w:rPr>
      </w:pPr>
    </w:p>
    <w:p>
      <w:pPr>
        <w:autoSpaceDE w:val="0"/>
        <w:autoSpaceDN w:val="0"/>
        <w:adjustRightInd w:val="0"/>
        <w:spacing w:line="360" w:lineRule="auto"/>
        <w:ind w:firstLine="560" w:firstLineChars="200"/>
        <w:rPr>
          <w:rFonts w:hint="eastAsia" w:ascii="仿宋" w:hAnsi="仿宋" w:eastAsia="仿宋" w:cs="仿宋"/>
          <w:color w:val="000000" w:themeColor="text1"/>
          <w:kern w:val="2"/>
          <w:sz w:val="28"/>
          <w:szCs w:val="28"/>
          <w:lang w:val="zh-CN" w:eastAsia="zh-CN" w:bidi="ar-SA"/>
          <w14:textFill>
            <w14:solidFill>
              <w14:schemeClr w14:val="tx1"/>
            </w14:solidFill>
          </w14:textFill>
        </w:rPr>
      </w:pPr>
      <w:r>
        <w:rPr>
          <w:rFonts w:hint="eastAsia" w:ascii="仿宋" w:hAnsi="仿宋" w:eastAsia="仿宋" w:cs="仿宋"/>
          <w:color w:val="000000" w:themeColor="text1"/>
          <w:kern w:val="2"/>
          <w:sz w:val="28"/>
          <w:szCs w:val="28"/>
          <w:lang w:val="zh-CN" w:eastAsia="zh-CN" w:bidi="ar-SA"/>
          <w14:textFill>
            <w14:solidFill>
              <w14:schemeClr w14:val="tx1"/>
            </w14:solidFill>
          </w14:textFill>
        </w:rPr>
        <w:t>日  期：        年        月        日</w:t>
      </w:r>
    </w:p>
    <w:p>
      <w:pPr>
        <w:pStyle w:val="2"/>
        <w:rPr>
          <w:rFonts w:hint="default" w:ascii="仿宋" w:hAnsi="仿宋" w:eastAsia="仿宋" w:cs="仿宋"/>
          <w:color w:val="000000" w:themeColor="text1"/>
          <w:sz w:val="28"/>
          <w:szCs w:val="28"/>
          <w:lang w:val="en-US" w:eastAsia="zh-CN"/>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280880"/>
    </w:sdtPr>
    <w:sdtContent>
      <w:p>
        <w:pPr>
          <w:pStyle w:val="12"/>
          <w:jc w:val="center"/>
        </w:pPr>
        <w:r>
          <w:fldChar w:fldCharType="begin"/>
        </w:r>
        <w:r>
          <w:instrText xml:space="preserve">PAGE   \* MERGEFORMAT</w:instrText>
        </w:r>
        <w:r>
          <w:fldChar w:fldCharType="separate"/>
        </w:r>
        <w:r>
          <w:rPr>
            <w:lang w:val="zh-CN"/>
          </w:rPr>
          <w:t>11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77F5"/>
    <w:multiLevelType w:val="singleLevel"/>
    <w:tmpl w:val="A25E77F5"/>
    <w:lvl w:ilvl="0" w:tentative="0">
      <w:start w:val="1"/>
      <w:numFmt w:val="chineseCounting"/>
      <w:suff w:val="nothing"/>
      <w:lvlText w:val="%1、"/>
      <w:lvlJc w:val="left"/>
      <w:pPr>
        <w:ind w:left="562" w:leftChars="0" w:firstLine="0" w:firstLineChars="0"/>
      </w:pPr>
      <w:rPr>
        <w:rFonts w:hint="eastAsia"/>
      </w:rPr>
    </w:lvl>
  </w:abstractNum>
  <w:abstractNum w:abstractNumId="1">
    <w:nsid w:val="C5662149"/>
    <w:multiLevelType w:val="singleLevel"/>
    <w:tmpl w:val="C5662149"/>
    <w:lvl w:ilvl="0" w:tentative="0">
      <w:start w:val="1"/>
      <w:numFmt w:val="decimal"/>
      <w:lvlText w:val="%1."/>
      <w:lvlJc w:val="left"/>
      <w:pPr>
        <w:tabs>
          <w:tab w:val="left" w:pos="312"/>
        </w:tabs>
      </w:pPr>
    </w:lvl>
  </w:abstractNum>
  <w:abstractNum w:abstractNumId="2">
    <w:nsid w:val="CB87E393"/>
    <w:multiLevelType w:val="singleLevel"/>
    <w:tmpl w:val="CB87E393"/>
    <w:lvl w:ilvl="0" w:tentative="0">
      <w:start w:val="1"/>
      <w:numFmt w:val="chineseCounting"/>
      <w:suff w:val="space"/>
      <w:lvlText w:val="第%1章"/>
      <w:lvlJc w:val="left"/>
      <w:rPr>
        <w:rFonts w:hint="eastAsia"/>
      </w:rPr>
    </w:lvl>
  </w:abstractNum>
  <w:abstractNum w:abstractNumId="3">
    <w:nsid w:val="3267BD16"/>
    <w:multiLevelType w:val="singleLevel"/>
    <w:tmpl w:val="3267BD16"/>
    <w:lvl w:ilvl="0" w:tentative="0">
      <w:start w:val="1"/>
      <w:numFmt w:val="decimal"/>
      <w:lvlText w:val="%1."/>
      <w:lvlJc w:val="left"/>
      <w:pPr>
        <w:tabs>
          <w:tab w:val="left" w:pos="312"/>
        </w:tabs>
      </w:pPr>
    </w:lvl>
  </w:abstractNum>
  <w:abstractNum w:abstractNumId="4">
    <w:nsid w:val="356F9202"/>
    <w:multiLevelType w:val="singleLevel"/>
    <w:tmpl w:val="356F9202"/>
    <w:lvl w:ilvl="0" w:tentative="0">
      <w:start w:val="1"/>
      <w:numFmt w:val="decimal"/>
      <w:lvlText w:val="%1."/>
      <w:lvlJc w:val="left"/>
      <w:pPr>
        <w:tabs>
          <w:tab w:val="left" w:pos="312"/>
        </w:tabs>
      </w:pPr>
    </w:lvl>
  </w:abstractNum>
  <w:abstractNum w:abstractNumId="5">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7788936C"/>
    <w:multiLevelType w:val="singleLevel"/>
    <w:tmpl w:val="7788936C"/>
    <w:lvl w:ilvl="0" w:tentative="0">
      <w:start w:val="1"/>
      <w:numFmt w:val="decimal"/>
      <w:lvlText w:val="%1."/>
      <w:lvlJc w:val="left"/>
      <w:pPr>
        <w:tabs>
          <w:tab w:val="left" w:pos="312"/>
        </w:tabs>
      </w:pPr>
    </w:lvl>
  </w:abstractNum>
  <w:abstractNum w:abstractNumId="7">
    <w:nsid w:val="78EF1B61"/>
    <w:multiLevelType w:val="singleLevel"/>
    <w:tmpl w:val="78EF1B61"/>
    <w:lvl w:ilvl="0" w:tentative="0">
      <w:start w:val="1"/>
      <w:numFmt w:val="decimal"/>
      <w:lvlText w:val="%1."/>
      <w:lvlJc w:val="left"/>
      <w:pPr>
        <w:tabs>
          <w:tab w:val="left" w:pos="312"/>
        </w:tabs>
      </w:pPr>
    </w:lvl>
  </w:abstractNum>
  <w:abstractNum w:abstractNumId="8">
    <w:nsid w:val="7A3463DB"/>
    <w:multiLevelType w:val="singleLevel"/>
    <w:tmpl w:val="7A3463DB"/>
    <w:lvl w:ilvl="0" w:tentative="0">
      <w:start w:val="1"/>
      <w:numFmt w:val="decimal"/>
      <w:lvlText w:val="%1."/>
      <w:lvlJc w:val="left"/>
      <w:pPr>
        <w:tabs>
          <w:tab w:val="left" w:pos="312"/>
        </w:tabs>
      </w:pPr>
    </w:lvl>
  </w:abstractNum>
  <w:num w:numId="1">
    <w:abstractNumId w:val="2"/>
  </w:num>
  <w:num w:numId="2">
    <w:abstractNumId w:val="0"/>
  </w:num>
  <w:num w:numId="3">
    <w:abstractNumId w:val="8"/>
  </w:num>
  <w:num w:numId="4">
    <w:abstractNumId w:val="7"/>
  </w:num>
  <w:num w:numId="5">
    <w:abstractNumId w:val="3"/>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jQwOWRlNGM4ZjA5NDRlNmUzMGUzMDRjMDI4NjQifQ=="/>
    <w:docVar w:name="KSO_WPS_MARK_KEY" w:val="33977b9b-927d-4bbd-b97f-fab35b885eca"/>
  </w:docVars>
  <w:rsids>
    <w:rsidRoot w:val="00C3633B"/>
    <w:rsid w:val="000027EA"/>
    <w:rsid w:val="000142AD"/>
    <w:rsid w:val="00016033"/>
    <w:rsid w:val="0002239A"/>
    <w:rsid w:val="000319C8"/>
    <w:rsid w:val="00036B02"/>
    <w:rsid w:val="00037393"/>
    <w:rsid w:val="00040A68"/>
    <w:rsid w:val="00041877"/>
    <w:rsid w:val="0004711C"/>
    <w:rsid w:val="00055A22"/>
    <w:rsid w:val="00060EFD"/>
    <w:rsid w:val="00062BB6"/>
    <w:rsid w:val="00072F66"/>
    <w:rsid w:val="00073720"/>
    <w:rsid w:val="00084169"/>
    <w:rsid w:val="0008529B"/>
    <w:rsid w:val="00091541"/>
    <w:rsid w:val="000A3CBD"/>
    <w:rsid w:val="000B26F5"/>
    <w:rsid w:val="000D4626"/>
    <w:rsid w:val="000D6CA5"/>
    <w:rsid w:val="000E7906"/>
    <w:rsid w:val="000F4641"/>
    <w:rsid w:val="000F5BE8"/>
    <w:rsid w:val="000F7871"/>
    <w:rsid w:val="00103B48"/>
    <w:rsid w:val="00105FD1"/>
    <w:rsid w:val="0011036A"/>
    <w:rsid w:val="001218E4"/>
    <w:rsid w:val="00135BBB"/>
    <w:rsid w:val="00137AA9"/>
    <w:rsid w:val="00152F96"/>
    <w:rsid w:val="001562F5"/>
    <w:rsid w:val="001665AF"/>
    <w:rsid w:val="00166C3A"/>
    <w:rsid w:val="001678C1"/>
    <w:rsid w:val="00173A16"/>
    <w:rsid w:val="00176ED8"/>
    <w:rsid w:val="0017738C"/>
    <w:rsid w:val="00177549"/>
    <w:rsid w:val="00180117"/>
    <w:rsid w:val="00181E1D"/>
    <w:rsid w:val="00196D08"/>
    <w:rsid w:val="00197C01"/>
    <w:rsid w:val="001C20A3"/>
    <w:rsid w:val="001C27BF"/>
    <w:rsid w:val="001E43D1"/>
    <w:rsid w:val="001E655D"/>
    <w:rsid w:val="001F29A2"/>
    <w:rsid w:val="002262C8"/>
    <w:rsid w:val="00231838"/>
    <w:rsid w:val="002320C8"/>
    <w:rsid w:val="002346DD"/>
    <w:rsid w:val="002354BC"/>
    <w:rsid w:val="00250F76"/>
    <w:rsid w:val="0026009E"/>
    <w:rsid w:val="00263593"/>
    <w:rsid w:val="00266B92"/>
    <w:rsid w:val="0026731A"/>
    <w:rsid w:val="002778E9"/>
    <w:rsid w:val="002902BC"/>
    <w:rsid w:val="00290DF1"/>
    <w:rsid w:val="00293650"/>
    <w:rsid w:val="002B0376"/>
    <w:rsid w:val="002C1122"/>
    <w:rsid w:val="002D0C49"/>
    <w:rsid w:val="002E0F5A"/>
    <w:rsid w:val="00300E45"/>
    <w:rsid w:val="00306060"/>
    <w:rsid w:val="00310A36"/>
    <w:rsid w:val="003134DA"/>
    <w:rsid w:val="00333BBF"/>
    <w:rsid w:val="00333E76"/>
    <w:rsid w:val="00335996"/>
    <w:rsid w:val="003603EB"/>
    <w:rsid w:val="00363F90"/>
    <w:rsid w:val="00366F57"/>
    <w:rsid w:val="00371A35"/>
    <w:rsid w:val="003765B9"/>
    <w:rsid w:val="00377114"/>
    <w:rsid w:val="00380AE2"/>
    <w:rsid w:val="0038109A"/>
    <w:rsid w:val="00381254"/>
    <w:rsid w:val="003917C9"/>
    <w:rsid w:val="00391A3F"/>
    <w:rsid w:val="003A2C38"/>
    <w:rsid w:val="003A73EA"/>
    <w:rsid w:val="003B2C1B"/>
    <w:rsid w:val="003B6E6D"/>
    <w:rsid w:val="003D1F74"/>
    <w:rsid w:val="003D5380"/>
    <w:rsid w:val="003E25BD"/>
    <w:rsid w:val="003E5A82"/>
    <w:rsid w:val="003E6A18"/>
    <w:rsid w:val="003E6D53"/>
    <w:rsid w:val="003F70C7"/>
    <w:rsid w:val="004044FF"/>
    <w:rsid w:val="00410D27"/>
    <w:rsid w:val="004156F6"/>
    <w:rsid w:val="00425603"/>
    <w:rsid w:val="0045494F"/>
    <w:rsid w:val="00455A92"/>
    <w:rsid w:val="004561A0"/>
    <w:rsid w:val="00457692"/>
    <w:rsid w:val="00457A5D"/>
    <w:rsid w:val="00462CB1"/>
    <w:rsid w:val="00463A93"/>
    <w:rsid w:val="00464BB5"/>
    <w:rsid w:val="00470DF7"/>
    <w:rsid w:val="00472A54"/>
    <w:rsid w:val="00481707"/>
    <w:rsid w:val="00486DA0"/>
    <w:rsid w:val="00490C6E"/>
    <w:rsid w:val="00496F8D"/>
    <w:rsid w:val="004A50AF"/>
    <w:rsid w:val="004A731E"/>
    <w:rsid w:val="004B15D3"/>
    <w:rsid w:val="004B5015"/>
    <w:rsid w:val="004C4E9B"/>
    <w:rsid w:val="004D1B3B"/>
    <w:rsid w:val="004D7438"/>
    <w:rsid w:val="004D7E0A"/>
    <w:rsid w:val="004F19A1"/>
    <w:rsid w:val="004F22E4"/>
    <w:rsid w:val="0050054D"/>
    <w:rsid w:val="005079C1"/>
    <w:rsid w:val="00510917"/>
    <w:rsid w:val="00510EA9"/>
    <w:rsid w:val="00532F68"/>
    <w:rsid w:val="00533D91"/>
    <w:rsid w:val="00537659"/>
    <w:rsid w:val="005427AE"/>
    <w:rsid w:val="00543001"/>
    <w:rsid w:val="005432C1"/>
    <w:rsid w:val="00550070"/>
    <w:rsid w:val="005713A3"/>
    <w:rsid w:val="005874E1"/>
    <w:rsid w:val="00587B1E"/>
    <w:rsid w:val="005B69C1"/>
    <w:rsid w:val="005C1F9C"/>
    <w:rsid w:val="005C1FD5"/>
    <w:rsid w:val="005E0F05"/>
    <w:rsid w:val="005E1F10"/>
    <w:rsid w:val="005E7A86"/>
    <w:rsid w:val="005F0C65"/>
    <w:rsid w:val="005F48F2"/>
    <w:rsid w:val="0061090F"/>
    <w:rsid w:val="00614273"/>
    <w:rsid w:val="00615F84"/>
    <w:rsid w:val="00621FF5"/>
    <w:rsid w:val="0062303C"/>
    <w:rsid w:val="0062612D"/>
    <w:rsid w:val="006261DA"/>
    <w:rsid w:val="00640F4D"/>
    <w:rsid w:val="00650232"/>
    <w:rsid w:val="00654BE2"/>
    <w:rsid w:val="006571C4"/>
    <w:rsid w:val="00661998"/>
    <w:rsid w:val="006706D5"/>
    <w:rsid w:val="006732BB"/>
    <w:rsid w:val="00677C37"/>
    <w:rsid w:val="00680660"/>
    <w:rsid w:val="00680D5B"/>
    <w:rsid w:val="00683710"/>
    <w:rsid w:val="00687AE8"/>
    <w:rsid w:val="00687F2E"/>
    <w:rsid w:val="006A7044"/>
    <w:rsid w:val="006B1013"/>
    <w:rsid w:val="006C1A44"/>
    <w:rsid w:val="006C392D"/>
    <w:rsid w:val="006D2F0D"/>
    <w:rsid w:val="006D3490"/>
    <w:rsid w:val="006D56FC"/>
    <w:rsid w:val="006E1CDC"/>
    <w:rsid w:val="006E61CD"/>
    <w:rsid w:val="006E6D23"/>
    <w:rsid w:val="006F5BEB"/>
    <w:rsid w:val="006F7866"/>
    <w:rsid w:val="00704AFA"/>
    <w:rsid w:val="007070ED"/>
    <w:rsid w:val="00714805"/>
    <w:rsid w:val="00716A79"/>
    <w:rsid w:val="007318F2"/>
    <w:rsid w:val="00737F8A"/>
    <w:rsid w:val="00762DF6"/>
    <w:rsid w:val="00763F5E"/>
    <w:rsid w:val="00766D0B"/>
    <w:rsid w:val="007709A4"/>
    <w:rsid w:val="0077449D"/>
    <w:rsid w:val="0079210E"/>
    <w:rsid w:val="0079738A"/>
    <w:rsid w:val="007A02B6"/>
    <w:rsid w:val="007A0683"/>
    <w:rsid w:val="007A42CC"/>
    <w:rsid w:val="007C48DB"/>
    <w:rsid w:val="007D0912"/>
    <w:rsid w:val="007D1BC6"/>
    <w:rsid w:val="007D3662"/>
    <w:rsid w:val="007E0484"/>
    <w:rsid w:val="007E3306"/>
    <w:rsid w:val="007E695B"/>
    <w:rsid w:val="007F2145"/>
    <w:rsid w:val="008008C8"/>
    <w:rsid w:val="0080227E"/>
    <w:rsid w:val="00803498"/>
    <w:rsid w:val="008117B5"/>
    <w:rsid w:val="00813FA2"/>
    <w:rsid w:val="00825B51"/>
    <w:rsid w:val="008263F2"/>
    <w:rsid w:val="00850F51"/>
    <w:rsid w:val="00852C88"/>
    <w:rsid w:val="00863A26"/>
    <w:rsid w:val="00873656"/>
    <w:rsid w:val="00875060"/>
    <w:rsid w:val="00876C9B"/>
    <w:rsid w:val="0088033B"/>
    <w:rsid w:val="00887EE2"/>
    <w:rsid w:val="00890439"/>
    <w:rsid w:val="00895D49"/>
    <w:rsid w:val="00897612"/>
    <w:rsid w:val="008A3BB1"/>
    <w:rsid w:val="008A66B7"/>
    <w:rsid w:val="008B0655"/>
    <w:rsid w:val="008B589D"/>
    <w:rsid w:val="008C0B4F"/>
    <w:rsid w:val="008C35BA"/>
    <w:rsid w:val="008C6481"/>
    <w:rsid w:val="008D27DE"/>
    <w:rsid w:val="008D48D5"/>
    <w:rsid w:val="008D6F20"/>
    <w:rsid w:val="008E61B7"/>
    <w:rsid w:val="008E7FFA"/>
    <w:rsid w:val="00910783"/>
    <w:rsid w:val="00913DD9"/>
    <w:rsid w:val="00922E56"/>
    <w:rsid w:val="009316EC"/>
    <w:rsid w:val="00935463"/>
    <w:rsid w:val="00935F1D"/>
    <w:rsid w:val="00936C8A"/>
    <w:rsid w:val="00941837"/>
    <w:rsid w:val="00956DD9"/>
    <w:rsid w:val="00956EA6"/>
    <w:rsid w:val="00977ABC"/>
    <w:rsid w:val="009801D8"/>
    <w:rsid w:val="009804B9"/>
    <w:rsid w:val="009827D9"/>
    <w:rsid w:val="0098601D"/>
    <w:rsid w:val="009922F5"/>
    <w:rsid w:val="009A0814"/>
    <w:rsid w:val="009A0CA2"/>
    <w:rsid w:val="009C5BAC"/>
    <w:rsid w:val="009C7929"/>
    <w:rsid w:val="009E2442"/>
    <w:rsid w:val="009E3BFC"/>
    <w:rsid w:val="009F52DA"/>
    <w:rsid w:val="00A069F1"/>
    <w:rsid w:val="00A1059A"/>
    <w:rsid w:val="00A111A0"/>
    <w:rsid w:val="00A22B9B"/>
    <w:rsid w:val="00A25EED"/>
    <w:rsid w:val="00A324E0"/>
    <w:rsid w:val="00A33687"/>
    <w:rsid w:val="00A35203"/>
    <w:rsid w:val="00A4643C"/>
    <w:rsid w:val="00A47D47"/>
    <w:rsid w:val="00A54E1F"/>
    <w:rsid w:val="00A57F0C"/>
    <w:rsid w:val="00A60082"/>
    <w:rsid w:val="00A6695C"/>
    <w:rsid w:val="00A67300"/>
    <w:rsid w:val="00A7597B"/>
    <w:rsid w:val="00A765D3"/>
    <w:rsid w:val="00A80621"/>
    <w:rsid w:val="00A80F25"/>
    <w:rsid w:val="00A87EBE"/>
    <w:rsid w:val="00AB1A0E"/>
    <w:rsid w:val="00AB2DEF"/>
    <w:rsid w:val="00AB67B2"/>
    <w:rsid w:val="00AC1980"/>
    <w:rsid w:val="00AC6B8F"/>
    <w:rsid w:val="00AD3687"/>
    <w:rsid w:val="00AD67AF"/>
    <w:rsid w:val="00AE00F9"/>
    <w:rsid w:val="00AE3C20"/>
    <w:rsid w:val="00AE4746"/>
    <w:rsid w:val="00B002E9"/>
    <w:rsid w:val="00B11C34"/>
    <w:rsid w:val="00B11D6B"/>
    <w:rsid w:val="00B14726"/>
    <w:rsid w:val="00B3497B"/>
    <w:rsid w:val="00B36A2A"/>
    <w:rsid w:val="00B56CE7"/>
    <w:rsid w:val="00B637B8"/>
    <w:rsid w:val="00B7070F"/>
    <w:rsid w:val="00B86528"/>
    <w:rsid w:val="00BA03B5"/>
    <w:rsid w:val="00BA0D21"/>
    <w:rsid w:val="00BA10B4"/>
    <w:rsid w:val="00BA1689"/>
    <w:rsid w:val="00BA6AC1"/>
    <w:rsid w:val="00BB25FC"/>
    <w:rsid w:val="00BB513C"/>
    <w:rsid w:val="00BD10A6"/>
    <w:rsid w:val="00BD1D06"/>
    <w:rsid w:val="00BD391A"/>
    <w:rsid w:val="00BD55E3"/>
    <w:rsid w:val="00BD60B6"/>
    <w:rsid w:val="00BE3796"/>
    <w:rsid w:val="00BE3B4C"/>
    <w:rsid w:val="00BE6EF3"/>
    <w:rsid w:val="00BF0A27"/>
    <w:rsid w:val="00BF6ED8"/>
    <w:rsid w:val="00C01B5B"/>
    <w:rsid w:val="00C02585"/>
    <w:rsid w:val="00C0417D"/>
    <w:rsid w:val="00C06CAA"/>
    <w:rsid w:val="00C20B6C"/>
    <w:rsid w:val="00C20E3F"/>
    <w:rsid w:val="00C26ADC"/>
    <w:rsid w:val="00C26BEC"/>
    <w:rsid w:val="00C31E18"/>
    <w:rsid w:val="00C35030"/>
    <w:rsid w:val="00C357FC"/>
    <w:rsid w:val="00C3633B"/>
    <w:rsid w:val="00C421B7"/>
    <w:rsid w:val="00C42A37"/>
    <w:rsid w:val="00C466EF"/>
    <w:rsid w:val="00C522CF"/>
    <w:rsid w:val="00C52D31"/>
    <w:rsid w:val="00C5365A"/>
    <w:rsid w:val="00C56442"/>
    <w:rsid w:val="00C604CC"/>
    <w:rsid w:val="00C6071F"/>
    <w:rsid w:val="00C65F70"/>
    <w:rsid w:val="00C66749"/>
    <w:rsid w:val="00C76632"/>
    <w:rsid w:val="00C80ECB"/>
    <w:rsid w:val="00CA3905"/>
    <w:rsid w:val="00CD4978"/>
    <w:rsid w:val="00CF0384"/>
    <w:rsid w:val="00D0511B"/>
    <w:rsid w:val="00D154DF"/>
    <w:rsid w:val="00D201C2"/>
    <w:rsid w:val="00D21473"/>
    <w:rsid w:val="00D26D0C"/>
    <w:rsid w:val="00D37691"/>
    <w:rsid w:val="00D40EE4"/>
    <w:rsid w:val="00D415AC"/>
    <w:rsid w:val="00D50071"/>
    <w:rsid w:val="00D50684"/>
    <w:rsid w:val="00D547AC"/>
    <w:rsid w:val="00D554B4"/>
    <w:rsid w:val="00D72D12"/>
    <w:rsid w:val="00D87F06"/>
    <w:rsid w:val="00DA0AB6"/>
    <w:rsid w:val="00DA21AC"/>
    <w:rsid w:val="00DA270D"/>
    <w:rsid w:val="00DB0A40"/>
    <w:rsid w:val="00DB37AD"/>
    <w:rsid w:val="00DC186D"/>
    <w:rsid w:val="00DC3384"/>
    <w:rsid w:val="00DC6313"/>
    <w:rsid w:val="00DD1402"/>
    <w:rsid w:val="00DD3215"/>
    <w:rsid w:val="00DE2D4C"/>
    <w:rsid w:val="00DE72FC"/>
    <w:rsid w:val="00DF43A3"/>
    <w:rsid w:val="00DF4C01"/>
    <w:rsid w:val="00E008D0"/>
    <w:rsid w:val="00E0351F"/>
    <w:rsid w:val="00E10A45"/>
    <w:rsid w:val="00E212F4"/>
    <w:rsid w:val="00E34A39"/>
    <w:rsid w:val="00E3652A"/>
    <w:rsid w:val="00E36974"/>
    <w:rsid w:val="00E37717"/>
    <w:rsid w:val="00E5355C"/>
    <w:rsid w:val="00E57FB7"/>
    <w:rsid w:val="00E609FE"/>
    <w:rsid w:val="00E61817"/>
    <w:rsid w:val="00E67DD2"/>
    <w:rsid w:val="00E931DF"/>
    <w:rsid w:val="00E9583E"/>
    <w:rsid w:val="00EA6271"/>
    <w:rsid w:val="00EA6AF9"/>
    <w:rsid w:val="00EB0351"/>
    <w:rsid w:val="00EB36AB"/>
    <w:rsid w:val="00EB37C2"/>
    <w:rsid w:val="00EC4DF2"/>
    <w:rsid w:val="00ED0F6B"/>
    <w:rsid w:val="00ED29F6"/>
    <w:rsid w:val="00ED3852"/>
    <w:rsid w:val="00ED7FA6"/>
    <w:rsid w:val="00EF1A1E"/>
    <w:rsid w:val="00EF32A8"/>
    <w:rsid w:val="00F00A48"/>
    <w:rsid w:val="00F026C1"/>
    <w:rsid w:val="00F24FB6"/>
    <w:rsid w:val="00F301E9"/>
    <w:rsid w:val="00F3595D"/>
    <w:rsid w:val="00F461AD"/>
    <w:rsid w:val="00F50D64"/>
    <w:rsid w:val="00F52940"/>
    <w:rsid w:val="00F5543F"/>
    <w:rsid w:val="00F60D23"/>
    <w:rsid w:val="00F74811"/>
    <w:rsid w:val="00F7483A"/>
    <w:rsid w:val="00F74897"/>
    <w:rsid w:val="00F77C0B"/>
    <w:rsid w:val="00F8027C"/>
    <w:rsid w:val="00F873BC"/>
    <w:rsid w:val="00F95FAC"/>
    <w:rsid w:val="00FA069F"/>
    <w:rsid w:val="00FA0ACA"/>
    <w:rsid w:val="00FA1399"/>
    <w:rsid w:val="00FA52FA"/>
    <w:rsid w:val="00FA6448"/>
    <w:rsid w:val="00FA6BA5"/>
    <w:rsid w:val="00FB1A32"/>
    <w:rsid w:val="00FB6E6A"/>
    <w:rsid w:val="00FC172E"/>
    <w:rsid w:val="00FC1830"/>
    <w:rsid w:val="00FE2131"/>
    <w:rsid w:val="00FF0AD8"/>
    <w:rsid w:val="00FF0E76"/>
    <w:rsid w:val="00FF1BFF"/>
    <w:rsid w:val="00FF3422"/>
    <w:rsid w:val="03395441"/>
    <w:rsid w:val="05133884"/>
    <w:rsid w:val="06750027"/>
    <w:rsid w:val="078403CE"/>
    <w:rsid w:val="088272FC"/>
    <w:rsid w:val="09863BAB"/>
    <w:rsid w:val="0BF83BC6"/>
    <w:rsid w:val="0DC61A39"/>
    <w:rsid w:val="0E5605A8"/>
    <w:rsid w:val="10076782"/>
    <w:rsid w:val="10805706"/>
    <w:rsid w:val="111900F3"/>
    <w:rsid w:val="11FA160D"/>
    <w:rsid w:val="122942B9"/>
    <w:rsid w:val="13246E38"/>
    <w:rsid w:val="13437B99"/>
    <w:rsid w:val="13C47D66"/>
    <w:rsid w:val="145A6BDE"/>
    <w:rsid w:val="149E7662"/>
    <w:rsid w:val="16DA02E0"/>
    <w:rsid w:val="19EB7814"/>
    <w:rsid w:val="19F556D8"/>
    <w:rsid w:val="1ABB736F"/>
    <w:rsid w:val="1CA30D8E"/>
    <w:rsid w:val="1E237E7E"/>
    <w:rsid w:val="1E9E67FF"/>
    <w:rsid w:val="20AF62AE"/>
    <w:rsid w:val="210F0816"/>
    <w:rsid w:val="22D028E0"/>
    <w:rsid w:val="244403B4"/>
    <w:rsid w:val="24E400BF"/>
    <w:rsid w:val="26DF605F"/>
    <w:rsid w:val="2728014B"/>
    <w:rsid w:val="28EC11C6"/>
    <w:rsid w:val="290E256A"/>
    <w:rsid w:val="2A4F482B"/>
    <w:rsid w:val="2C2A4965"/>
    <w:rsid w:val="2D8748E9"/>
    <w:rsid w:val="2DE33D57"/>
    <w:rsid w:val="2ECB20BA"/>
    <w:rsid w:val="30DD298D"/>
    <w:rsid w:val="3183186B"/>
    <w:rsid w:val="318908BB"/>
    <w:rsid w:val="31896E91"/>
    <w:rsid w:val="33424C23"/>
    <w:rsid w:val="33590AD6"/>
    <w:rsid w:val="336B3CAA"/>
    <w:rsid w:val="34AA5DC2"/>
    <w:rsid w:val="35507787"/>
    <w:rsid w:val="35B474AB"/>
    <w:rsid w:val="36053DB6"/>
    <w:rsid w:val="3789228D"/>
    <w:rsid w:val="38611BD6"/>
    <w:rsid w:val="390925D8"/>
    <w:rsid w:val="393E44F9"/>
    <w:rsid w:val="39565D62"/>
    <w:rsid w:val="39635696"/>
    <w:rsid w:val="396C0B3A"/>
    <w:rsid w:val="39F4652E"/>
    <w:rsid w:val="3B17580F"/>
    <w:rsid w:val="3CC120F2"/>
    <w:rsid w:val="3D1D0C51"/>
    <w:rsid w:val="3E407AAF"/>
    <w:rsid w:val="3E422FB2"/>
    <w:rsid w:val="4004626D"/>
    <w:rsid w:val="42050EA7"/>
    <w:rsid w:val="42611755"/>
    <w:rsid w:val="43E3619A"/>
    <w:rsid w:val="445718EE"/>
    <w:rsid w:val="448A4A92"/>
    <w:rsid w:val="45084F4F"/>
    <w:rsid w:val="455E3D2A"/>
    <w:rsid w:val="460B37ED"/>
    <w:rsid w:val="47DB377D"/>
    <w:rsid w:val="47F47296"/>
    <w:rsid w:val="49495EC9"/>
    <w:rsid w:val="4AE01C0B"/>
    <w:rsid w:val="4B4B2E0D"/>
    <w:rsid w:val="4B807C59"/>
    <w:rsid w:val="4C957ADD"/>
    <w:rsid w:val="4D103458"/>
    <w:rsid w:val="4D6C4EF6"/>
    <w:rsid w:val="4D7E0E5D"/>
    <w:rsid w:val="4DAA129E"/>
    <w:rsid w:val="4EA37297"/>
    <w:rsid w:val="4EB33AE4"/>
    <w:rsid w:val="4F5F53A6"/>
    <w:rsid w:val="505C355C"/>
    <w:rsid w:val="52FE08FA"/>
    <w:rsid w:val="543807B5"/>
    <w:rsid w:val="545D5EF6"/>
    <w:rsid w:val="56FA45C0"/>
    <w:rsid w:val="57796308"/>
    <w:rsid w:val="58701BA4"/>
    <w:rsid w:val="58757401"/>
    <w:rsid w:val="58B06B3A"/>
    <w:rsid w:val="5984243F"/>
    <w:rsid w:val="5B8F0C89"/>
    <w:rsid w:val="5C1D6295"/>
    <w:rsid w:val="5D4A4535"/>
    <w:rsid w:val="5D5C6839"/>
    <w:rsid w:val="5DEE3BA9"/>
    <w:rsid w:val="5E810B9A"/>
    <w:rsid w:val="5E9F031F"/>
    <w:rsid w:val="5EF232CB"/>
    <w:rsid w:val="5F8B19CE"/>
    <w:rsid w:val="60AC31AA"/>
    <w:rsid w:val="624C7EAA"/>
    <w:rsid w:val="64AC3E03"/>
    <w:rsid w:val="666B22F3"/>
    <w:rsid w:val="672A3F5C"/>
    <w:rsid w:val="67BB6BE3"/>
    <w:rsid w:val="681C6DDC"/>
    <w:rsid w:val="68784853"/>
    <w:rsid w:val="6D0D3E13"/>
    <w:rsid w:val="6D0E487B"/>
    <w:rsid w:val="6F410D93"/>
    <w:rsid w:val="6F5853FA"/>
    <w:rsid w:val="70271038"/>
    <w:rsid w:val="704D75D3"/>
    <w:rsid w:val="70AD0C70"/>
    <w:rsid w:val="71194D26"/>
    <w:rsid w:val="724C4180"/>
    <w:rsid w:val="732706F9"/>
    <w:rsid w:val="74A90E7B"/>
    <w:rsid w:val="764E6D27"/>
    <w:rsid w:val="7720460A"/>
    <w:rsid w:val="77FA6D96"/>
    <w:rsid w:val="78FB585E"/>
    <w:rsid w:val="79954464"/>
    <w:rsid w:val="7A6A042B"/>
    <w:rsid w:val="7AF82E35"/>
    <w:rsid w:val="7B2A23CC"/>
    <w:rsid w:val="7CD47820"/>
    <w:rsid w:val="7CE97137"/>
    <w:rsid w:val="7DCC30E9"/>
    <w:rsid w:val="7F4670CD"/>
    <w:rsid w:val="7F676E27"/>
    <w:rsid w:val="7F7B4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9"/>
    <w:pPr>
      <w:keepNext/>
      <w:keepLines/>
      <w:spacing w:before="120" w:after="120" w:line="360" w:lineRule="auto"/>
      <w:contextualSpacing/>
      <w:jc w:val="left"/>
      <w:outlineLvl w:val="2"/>
    </w:pPr>
    <w:rPr>
      <w:rFonts w:ascii="宋体" w:hAnsi="宋体"/>
      <w:b/>
      <w:bCs/>
      <w:kern w:val="0"/>
      <w:sz w:val="24"/>
      <w:szCs w:val="24"/>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Document Map"/>
    <w:basedOn w:val="1"/>
    <w:link w:val="30"/>
    <w:unhideWhenUsed/>
    <w:qFormat/>
    <w:uiPriority w:val="99"/>
    <w:rPr>
      <w:rFonts w:ascii="宋体" w:eastAsia="宋体"/>
      <w:sz w:val="18"/>
      <w:szCs w:val="18"/>
    </w:rPr>
  </w:style>
  <w:style w:type="paragraph" w:styleId="8">
    <w:name w:val="Body Text"/>
    <w:basedOn w:val="1"/>
    <w:qFormat/>
    <w:uiPriority w:val="0"/>
    <w:pPr>
      <w:spacing w:line="360" w:lineRule="auto"/>
    </w:pPr>
    <w:rPr>
      <w:kern w:val="0"/>
      <w:sz w:val="24"/>
      <w:szCs w:val="20"/>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Plain Text"/>
    <w:basedOn w:val="1"/>
    <w:unhideWhenUsed/>
    <w:qFormat/>
    <w:uiPriority w:val="99"/>
    <w:rPr>
      <w:rFonts w:ascii="宋体" w:hAnsi="Courier New"/>
      <w:szCs w:val="20"/>
    </w:rPr>
  </w:style>
  <w:style w:type="paragraph" w:styleId="11">
    <w:name w:val="Balloon Text"/>
    <w:basedOn w:val="1"/>
    <w:link w:val="29"/>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Title"/>
    <w:basedOn w:val="1"/>
    <w:next w:val="1"/>
    <w:qFormat/>
    <w:uiPriority w:val="10"/>
    <w:pPr>
      <w:tabs>
        <w:tab w:val="left" w:pos="3840"/>
      </w:tabs>
      <w:contextualSpacing/>
      <w:jc w:val="left"/>
      <w:outlineLvl w:val="0"/>
    </w:pPr>
    <w:rPr>
      <w:rFonts w:ascii="Cambria" w:hAnsi="Cambria"/>
      <w:b/>
      <w:bCs/>
      <w:kern w:val="0"/>
      <w:sz w:val="28"/>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页眉 Char"/>
    <w:basedOn w:val="19"/>
    <w:link w:val="13"/>
    <w:qFormat/>
    <w:uiPriority w:val="99"/>
    <w:rPr>
      <w:sz w:val="18"/>
      <w:szCs w:val="18"/>
    </w:rPr>
  </w:style>
  <w:style w:type="character" w:customStyle="1" w:styleId="22">
    <w:name w:val="页脚 Char"/>
    <w:basedOn w:val="19"/>
    <w:link w:val="12"/>
    <w:qFormat/>
    <w:uiPriority w:val="99"/>
    <w:rPr>
      <w:sz w:val="18"/>
      <w:szCs w:val="18"/>
    </w:rPr>
  </w:style>
  <w:style w:type="character" w:customStyle="1" w:styleId="23">
    <w:name w:val="标题 1 Char"/>
    <w:basedOn w:val="19"/>
    <w:link w:val="4"/>
    <w:qFormat/>
    <w:uiPriority w:val="9"/>
    <w:rPr>
      <w:b/>
      <w:bCs/>
      <w:kern w:val="44"/>
      <w:sz w:val="44"/>
      <w:szCs w:val="44"/>
    </w:rPr>
  </w:style>
  <w:style w:type="paragraph" w:customStyle="1" w:styleId="24">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5">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6">
    <w:name w:val="标题 2 Char"/>
    <w:basedOn w:val="19"/>
    <w:link w:val="5"/>
    <w:qFormat/>
    <w:uiPriority w:val="0"/>
    <w:rPr>
      <w:rFonts w:ascii="Arial" w:hAnsi="Arial" w:eastAsia="黑体" w:cs="Times New Roman"/>
      <w:b/>
      <w:bCs/>
      <w:sz w:val="32"/>
      <w:szCs w:val="32"/>
    </w:rPr>
  </w:style>
  <w:style w:type="paragraph" w:customStyle="1" w:styleId="27">
    <w:name w:val="目录"/>
    <w:basedOn w:val="1"/>
    <w:qFormat/>
    <w:uiPriority w:val="0"/>
    <w:rPr>
      <w:rFonts w:ascii="楷体_GB2312" w:hAnsi="Times New Roman" w:eastAsia="楷体_GB2312" w:cs="Times New Roman"/>
      <w:b/>
      <w:bCs/>
      <w:sz w:val="36"/>
      <w:szCs w:val="36"/>
    </w:rPr>
  </w:style>
  <w:style w:type="paragraph" w:customStyle="1" w:styleId="28">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29">
    <w:name w:val="批注框文本 Char"/>
    <w:basedOn w:val="19"/>
    <w:link w:val="11"/>
    <w:semiHidden/>
    <w:qFormat/>
    <w:uiPriority w:val="99"/>
    <w:rPr>
      <w:sz w:val="18"/>
      <w:szCs w:val="18"/>
    </w:rPr>
  </w:style>
  <w:style w:type="character" w:customStyle="1" w:styleId="30">
    <w:name w:val="文档结构图 Char"/>
    <w:basedOn w:val="19"/>
    <w:link w:val="7"/>
    <w:semiHidden/>
    <w:qFormat/>
    <w:uiPriority w:val="99"/>
    <w:rPr>
      <w:rFonts w:ascii="宋体" w:eastAsia="宋体"/>
      <w:sz w:val="18"/>
      <w:szCs w:val="18"/>
    </w:rPr>
  </w:style>
  <w:style w:type="paragraph" w:customStyle="1" w:styleId="31">
    <w:name w:val="USE 1"/>
    <w:basedOn w:val="1"/>
    <w:qFormat/>
    <w:uiPriority w:val="0"/>
    <w:pPr>
      <w:spacing w:line="200" w:lineRule="exact"/>
      <w:ind w:firstLine="200" w:firstLineChars="200"/>
      <w:contextualSpacing/>
      <w:jc w:val="left"/>
    </w:pPr>
    <w:rPr>
      <w:rFonts w:ascii="宋体" w:hAnsi="宋体"/>
      <w:b/>
      <w:sz w:val="24"/>
      <w:szCs w:val="28"/>
    </w:rPr>
  </w:style>
  <w:style w:type="character" w:customStyle="1" w:styleId="32">
    <w:name w:val="font51"/>
    <w:basedOn w:val="19"/>
    <w:qFormat/>
    <w:uiPriority w:val="0"/>
    <w:rPr>
      <w:rFonts w:hint="default" w:ascii="仿宋_GB2312" w:eastAsia="仿宋_GB2312" w:cs="仿宋_GB2312"/>
      <w:color w:val="000000"/>
      <w:sz w:val="20"/>
      <w:szCs w:val="20"/>
      <w:u w:val="none"/>
    </w:rPr>
  </w:style>
  <w:style w:type="character" w:customStyle="1" w:styleId="33">
    <w:name w:val="font11"/>
    <w:basedOn w:val="19"/>
    <w:qFormat/>
    <w:uiPriority w:val="0"/>
    <w:rPr>
      <w:rFonts w:hint="eastAsia" w:ascii="宋体" w:hAnsi="宋体" w:eastAsia="宋体" w:cs="宋体"/>
      <w:color w:val="000000"/>
      <w:sz w:val="20"/>
      <w:szCs w:val="20"/>
      <w:u w:val="none"/>
    </w:rPr>
  </w:style>
  <w:style w:type="character" w:customStyle="1" w:styleId="34">
    <w:name w:val="font21"/>
    <w:basedOn w:val="19"/>
    <w:qFormat/>
    <w:uiPriority w:val="0"/>
    <w:rPr>
      <w:rFonts w:hint="default" w:ascii="仿宋_GB2312" w:eastAsia="仿宋_GB2312" w:cs="仿宋_GB2312"/>
      <w:color w:val="000000"/>
      <w:sz w:val="20"/>
      <w:szCs w:val="20"/>
      <w:u w:val="none"/>
    </w:rPr>
  </w:style>
  <w:style w:type="character" w:customStyle="1" w:styleId="35">
    <w:name w:val="font41"/>
    <w:basedOn w:val="19"/>
    <w:qFormat/>
    <w:uiPriority w:val="0"/>
    <w:rPr>
      <w:rFonts w:hint="eastAsia" w:ascii="华文细黑" w:hAnsi="华文细黑" w:eastAsia="华文细黑" w:cs="华文细黑"/>
      <w:color w:val="000000"/>
      <w:sz w:val="24"/>
      <w:szCs w:val="24"/>
      <w:u w:val="none"/>
    </w:rPr>
  </w:style>
  <w:style w:type="character" w:customStyle="1" w:styleId="36">
    <w:name w:val="font61"/>
    <w:basedOn w:val="19"/>
    <w:qFormat/>
    <w:uiPriority w:val="0"/>
    <w:rPr>
      <w:rFonts w:hint="eastAsia" w:ascii="仿宋_GB2312" w:eastAsia="仿宋_GB2312" w:cs="仿宋_GB2312"/>
      <w:color w:val="FF0000"/>
      <w:sz w:val="22"/>
      <w:szCs w:val="22"/>
      <w:u w:val="none"/>
    </w:rPr>
  </w:style>
  <w:style w:type="character" w:customStyle="1" w:styleId="37">
    <w:name w:val="font91"/>
    <w:basedOn w:val="19"/>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F7D1-EAF6-426B-9B23-B133E3D8E2D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5261</Words>
  <Characters>5525</Characters>
  <Lines>37</Lines>
  <Paragraphs>10</Paragraphs>
  <TotalTime>3</TotalTime>
  <ScaleCrop>false</ScaleCrop>
  <LinksUpToDate>false</LinksUpToDate>
  <CharactersWithSpaces>6475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2017-05-03T03:01:00Z</dcterms:created>
  <dc:creator>黄兴科</dc:creator>
  <cp:lastModifiedBy>凌亚娟</cp:lastModifiedBy>
  <cp:lastPrinted>2025-09-08T06:36:00Z</cp:lastPrinted>
  <dcterms:modified xsi:type="dcterms:W3CDTF">2025-09-15T10:01:46Z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3DB8800E81F04E1B97D4B714D23AF571</vt:lpwstr>
  </property>
</Properties>
</file>